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61E7D" w14:textId="31F80E66" w:rsidR="000011FB" w:rsidRPr="00FE10DD" w:rsidRDefault="009B4F20" w:rsidP="000011FB">
      <w:pPr>
        <w:pStyle w:val="a3"/>
        <w:tabs>
          <w:tab w:val="left" w:pos="8280"/>
        </w:tabs>
        <w:spacing w:line="280" w:lineRule="exact"/>
        <w:rPr>
          <w:rFonts w:cs="Arial"/>
          <w:color w:val="FF0000"/>
          <w:sz w:val="24"/>
          <w:szCs w:val="24"/>
          <w:lang w:val="en-US"/>
        </w:rPr>
      </w:pPr>
      <w:r w:rsidRPr="009B4F20">
        <w:rPr>
          <w:rFonts w:cs="Arial"/>
          <w:color w:val="000000"/>
          <w:sz w:val="24"/>
          <w:szCs w:val="24"/>
          <w:lang w:val="en-US"/>
        </w:rPr>
        <w:t>3GPP TSG-RAN WG4 Meeting #11</w:t>
      </w:r>
      <w:r w:rsidR="001035C4">
        <w:rPr>
          <w:rFonts w:cs="Arial"/>
          <w:color w:val="000000"/>
          <w:sz w:val="24"/>
          <w:szCs w:val="24"/>
          <w:lang w:val="en-US"/>
        </w:rPr>
        <w:t>5</w:t>
      </w:r>
      <w:r w:rsidR="00700206" w:rsidRPr="00FE10DD">
        <w:rPr>
          <w:rFonts w:cs="Arial"/>
          <w:color w:val="000000"/>
          <w:sz w:val="24"/>
          <w:szCs w:val="24"/>
          <w:lang w:val="en-US"/>
        </w:rPr>
        <w:t xml:space="preserve">                         </w:t>
      </w:r>
      <w:r w:rsidR="00700206" w:rsidRPr="000761DD">
        <w:rPr>
          <w:rFonts w:eastAsia="新細明體" w:cs="Arial"/>
          <w:color w:val="000000"/>
          <w:sz w:val="24"/>
          <w:szCs w:val="24"/>
          <w:lang w:val="en-US" w:eastAsia="zh-TW"/>
        </w:rPr>
        <w:t xml:space="preserve">  </w:t>
      </w:r>
      <w:r w:rsidR="00700206" w:rsidRPr="00FE10DD">
        <w:rPr>
          <w:rFonts w:cs="Arial"/>
          <w:color w:val="000000"/>
          <w:sz w:val="24"/>
          <w:szCs w:val="24"/>
          <w:lang w:val="en-US"/>
        </w:rPr>
        <w:t xml:space="preserve"> </w:t>
      </w:r>
      <w:r w:rsidR="00700206" w:rsidRPr="000761DD">
        <w:rPr>
          <w:rFonts w:eastAsia="新細明體" w:cs="Arial"/>
          <w:color w:val="000000"/>
          <w:sz w:val="24"/>
          <w:szCs w:val="24"/>
          <w:lang w:val="en-US" w:eastAsia="zh-TW"/>
        </w:rPr>
        <w:t xml:space="preserve">  </w:t>
      </w:r>
      <w:r w:rsidR="00FE5E52">
        <w:rPr>
          <w:rFonts w:eastAsia="新細明體" w:cs="Arial"/>
          <w:color w:val="000000"/>
          <w:sz w:val="24"/>
          <w:szCs w:val="24"/>
          <w:lang w:val="en-US" w:eastAsia="zh-TW"/>
        </w:rPr>
        <w:t xml:space="preserve"> </w:t>
      </w:r>
      <w:r>
        <w:rPr>
          <w:rFonts w:eastAsia="新細明體" w:cs="Arial"/>
          <w:color w:val="000000"/>
          <w:sz w:val="24"/>
          <w:szCs w:val="24"/>
          <w:lang w:val="en-US" w:eastAsia="zh-TW"/>
        </w:rPr>
        <w:t xml:space="preserve">  </w:t>
      </w:r>
      <w:r w:rsidR="008218C9" w:rsidRPr="008218C9">
        <w:rPr>
          <w:rFonts w:eastAsia="新細明體" w:cs="Arial"/>
          <w:color w:val="000000"/>
          <w:sz w:val="24"/>
          <w:szCs w:val="24"/>
          <w:lang w:val="en-US" w:eastAsia="zh-TW"/>
        </w:rPr>
        <w:t>R4-25</w:t>
      </w:r>
      <w:r w:rsidR="001035C4">
        <w:rPr>
          <w:rFonts w:eastAsia="新細明體" w:cs="Arial"/>
          <w:color w:val="000000"/>
          <w:sz w:val="24"/>
          <w:szCs w:val="24"/>
          <w:lang w:val="en-US" w:eastAsia="zh-TW"/>
        </w:rPr>
        <w:t>0</w:t>
      </w:r>
      <w:r w:rsidR="004E7FF2">
        <w:rPr>
          <w:rFonts w:eastAsia="新細明體" w:cs="Arial"/>
          <w:color w:val="000000"/>
          <w:sz w:val="24"/>
          <w:szCs w:val="24"/>
          <w:lang w:val="en-US" w:eastAsia="zh-TW"/>
        </w:rPr>
        <w:t>6520</w:t>
      </w:r>
    </w:p>
    <w:p w14:paraId="00A6E902" w14:textId="08D17543" w:rsidR="00FE5E52" w:rsidRDefault="001035C4" w:rsidP="008A3175">
      <w:pPr>
        <w:tabs>
          <w:tab w:val="left" w:pos="1985"/>
        </w:tabs>
        <w:jc w:val="both"/>
        <w:rPr>
          <w:rFonts w:ascii="Arial" w:eastAsia="SimSun" w:hAnsi="Arial" w:cs="Arial"/>
          <w:b/>
          <w:color w:val="000000"/>
          <w:lang w:eastAsia="zh-CN"/>
        </w:rPr>
      </w:pPr>
      <w:r>
        <w:rPr>
          <w:rFonts w:ascii="Arial" w:eastAsia="SimSun" w:hAnsi="Arial" w:cs="Arial"/>
          <w:b/>
          <w:color w:val="000000"/>
          <w:lang w:eastAsia="zh-CN"/>
        </w:rPr>
        <w:t>St. Julians, Malta</w:t>
      </w:r>
      <w:r w:rsidR="009B4F20" w:rsidRPr="009B4F20">
        <w:rPr>
          <w:rFonts w:ascii="Arial" w:eastAsia="SimSun" w:hAnsi="Arial" w:cs="Arial"/>
          <w:b/>
          <w:color w:val="000000"/>
          <w:lang w:eastAsia="zh-CN"/>
        </w:rPr>
        <w:t xml:space="preserve">, </w:t>
      </w:r>
      <w:r>
        <w:rPr>
          <w:rFonts w:ascii="Arial" w:eastAsia="SimSun" w:hAnsi="Arial" w:cs="Arial"/>
          <w:b/>
          <w:color w:val="000000"/>
          <w:lang w:eastAsia="zh-CN"/>
        </w:rPr>
        <w:t>19</w:t>
      </w:r>
      <w:r w:rsidR="009B4F20" w:rsidRPr="009B4F20">
        <w:rPr>
          <w:rFonts w:ascii="Arial" w:eastAsia="SimSun" w:hAnsi="Arial" w:cs="Arial"/>
          <w:b/>
          <w:color w:val="000000"/>
          <w:vertAlign w:val="superscript"/>
          <w:lang w:eastAsia="zh-CN"/>
        </w:rPr>
        <w:t>th</w:t>
      </w:r>
      <w:r w:rsidR="009B4F20" w:rsidRPr="009B4F20">
        <w:rPr>
          <w:rFonts w:ascii="Arial" w:eastAsia="SimSun" w:hAnsi="Arial" w:cs="Arial"/>
          <w:b/>
          <w:color w:val="000000"/>
          <w:lang w:eastAsia="zh-CN"/>
        </w:rPr>
        <w:t xml:space="preserve"> – </w:t>
      </w:r>
      <w:r>
        <w:rPr>
          <w:rFonts w:ascii="Arial" w:eastAsia="SimSun" w:hAnsi="Arial" w:cs="Arial"/>
          <w:b/>
          <w:color w:val="000000"/>
          <w:lang w:eastAsia="zh-CN"/>
        </w:rPr>
        <w:t>23</w:t>
      </w:r>
      <w:r w:rsidRPr="001035C4">
        <w:rPr>
          <w:rFonts w:ascii="Arial" w:eastAsia="SimSun" w:hAnsi="Arial" w:cs="Arial"/>
          <w:b/>
          <w:color w:val="000000"/>
          <w:vertAlign w:val="superscript"/>
          <w:lang w:eastAsia="zh-CN"/>
        </w:rPr>
        <w:t>rd</w:t>
      </w:r>
      <w:r w:rsidR="006113F6">
        <w:rPr>
          <w:rFonts w:ascii="Arial" w:eastAsia="SimSun" w:hAnsi="Arial" w:cs="Arial"/>
          <w:b/>
          <w:color w:val="000000"/>
          <w:lang w:eastAsia="zh-CN"/>
        </w:rPr>
        <w:t xml:space="preserve"> </w:t>
      </w:r>
      <w:r>
        <w:rPr>
          <w:rFonts w:ascii="Arial" w:eastAsia="SimSun" w:hAnsi="Arial" w:cs="Arial"/>
          <w:b/>
          <w:color w:val="000000"/>
          <w:lang w:eastAsia="zh-CN"/>
        </w:rPr>
        <w:t>May</w:t>
      </w:r>
      <w:r w:rsidR="009B4F20" w:rsidRPr="009B4F20">
        <w:rPr>
          <w:rFonts w:ascii="Arial" w:eastAsia="SimSun" w:hAnsi="Arial" w:cs="Arial"/>
          <w:b/>
          <w:color w:val="000000"/>
          <w:lang w:eastAsia="zh-CN"/>
        </w:rPr>
        <w:t>, 202</w:t>
      </w:r>
      <w:r w:rsidR="00040D11">
        <w:rPr>
          <w:rFonts w:ascii="Arial" w:eastAsia="SimSun" w:hAnsi="Arial" w:cs="Arial"/>
          <w:b/>
          <w:color w:val="000000"/>
          <w:lang w:eastAsia="zh-CN"/>
        </w:rPr>
        <w:t>5</w:t>
      </w:r>
    </w:p>
    <w:p w14:paraId="3DE64030" w14:textId="77777777" w:rsidR="009B4F20" w:rsidRPr="00243AAA" w:rsidRDefault="009B4F20" w:rsidP="008A3175">
      <w:pPr>
        <w:tabs>
          <w:tab w:val="left" w:pos="1985"/>
        </w:tabs>
        <w:jc w:val="both"/>
        <w:rPr>
          <w:rFonts w:ascii="Arial" w:hAnsi="Arial" w:cs="Arial"/>
          <w:b/>
          <w:lang w:eastAsia="ja-JP"/>
        </w:rPr>
      </w:pPr>
    </w:p>
    <w:p w14:paraId="007A8EAB" w14:textId="77777777" w:rsidR="008A3175" w:rsidRPr="00F71F2D" w:rsidRDefault="008A3175" w:rsidP="008A3175">
      <w:pPr>
        <w:tabs>
          <w:tab w:val="left" w:pos="1985"/>
        </w:tabs>
        <w:jc w:val="both"/>
        <w:rPr>
          <w:rFonts w:ascii="Arial" w:eastAsia="SimSun" w:hAnsi="Arial" w:cs="Arial"/>
          <w:b/>
        </w:rPr>
      </w:pPr>
      <w:r w:rsidRPr="00F71F2D">
        <w:rPr>
          <w:rFonts w:ascii="Arial" w:hAnsi="Arial" w:cs="Arial"/>
          <w:b/>
        </w:rPr>
        <w:t xml:space="preserve">Source: </w:t>
      </w:r>
      <w:r w:rsidRPr="00F71F2D">
        <w:rPr>
          <w:rFonts w:ascii="Arial" w:hAnsi="Arial" w:cs="Arial"/>
          <w:b/>
        </w:rPr>
        <w:tab/>
      </w:r>
      <w:r w:rsidRPr="00F71F2D">
        <w:rPr>
          <w:rFonts w:ascii="Arial" w:hAnsi="Arial" w:cs="Arial"/>
        </w:rPr>
        <w:t>MediaTek Inc.</w:t>
      </w:r>
    </w:p>
    <w:p w14:paraId="78BFF8E1" w14:textId="369D5D26" w:rsidR="008A3175" w:rsidRPr="004A6B7D" w:rsidRDefault="008A3175" w:rsidP="008A3175">
      <w:pPr>
        <w:ind w:left="1985" w:hanging="1985"/>
        <w:rPr>
          <w:rFonts w:ascii="Arial" w:eastAsia="新細明體" w:hAnsi="Arial" w:cs="Arial"/>
          <w:color w:val="000000"/>
        </w:rPr>
      </w:pPr>
      <w:r w:rsidRPr="004A6B7D">
        <w:rPr>
          <w:rFonts w:ascii="Arial" w:hAnsi="Arial" w:cs="Arial"/>
          <w:b/>
          <w:color w:val="000000"/>
        </w:rPr>
        <w:t>Title:</w:t>
      </w:r>
      <w:r w:rsidRPr="004A6B7D">
        <w:rPr>
          <w:rFonts w:ascii="Arial" w:hAnsi="Arial" w:cs="Arial"/>
          <w:color w:val="000000"/>
        </w:rPr>
        <w:t xml:space="preserve"> </w:t>
      </w:r>
      <w:r w:rsidRPr="004A6B7D">
        <w:rPr>
          <w:rFonts w:ascii="Arial" w:hAnsi="Arial" w:cs="Arial"/>
          <w:color w:val="000000"/>
        </w:rPr>
        <w:tab/>
      </w:r>
      <w:bookmarkStart w:id="0" w:name="OLE_LINK163"/>
      <w:bookmarkStart w:id="1" w:name="OLE_LINK73"/>
      <w:r w:rsidR="00B51AE6">
        <w:rPr>
          <w:rFonts w:ascii="Arial" w:hAnsi="Arial" w:cs="Arial"/>
          <w:color w:val="000000"/>
        </w:rPr>
        <w:t>Discussion</w:t>
      </w:r>
      <w:r w:rsidR="00901355">
        <w:rPr>
          <w:rFonts w:ascii="Arial" w:hAnsi="Arial" w:cs="Arial"/>
          <w:color w:val="000000"/>
        </w:rPr>
        <w:t xml:space="preserve"> on</w:t>
      </w:r>
      <w:bookmarkStart w:id="2" w:name="OLE_LINK171"/>
      <w:r w:rsidR="00CD598E">
        <w:rPr>
          <w:rFonts w:ascii="Arial" w:hAnsi="Arial" w:cs="Arial"/>
          <w:color w:val="000000"/>
        </w:rPr>
        <w:t xml:space="preserve"> </w:t>
      </w:r>
      <w:bookmarkStart w:id="3" w:name="OLE_LINK174"/>
      <w:bookmarkStart w:id="4" w:name="OLE_LINK94"/>
      <w:r w:rsidR="00CD598E">
        <w:rPr>
          <w:rFonts w:ascii="Arial" w:hAnsi="Arial" w:cs="Arial"/>
          <w:color w:val="000000"/>
        </w:rPr>
        <w:t>power domain enhancement</w:t>
      </w:r>
      <w:bookmarkEnd w:id="2"/>
      <w:bookmarkEnd w:id="3"/>
      <w:r w:rsidR="00CD598E">
        <w:rPr>
          <w:rFonts w:ascii="Arial" w:hAnsi="Arial" w:cs="Arial"/>
          <w:color w:val="000000"/>
        </w:rPr>
        <w:t xml:space="preserve"> for NR single carrier</w:t>
      </w:r>
      <w:bookmarkEnd w:id="0"/>
      <w:bookmarkEnd w:id="4"/>
      <w:r w:rsidR="00681556" w:rsidRPr="00D51892">
        <w:rPr>
          <w:rFonts w:ascii="Arial" w:hAnsi="Arial" w:cs="Arial"/>
          <w:color w:val="000000"/>
        </w:rPr>
        <w:t xml:space="preserve"> </w:t>
      </w:r>
      <w:bookmarkEnd w:id="1"/>
    </w:p>
    <w:p w14:paraId="77BBC9DF" w14:textId="3D4E43D0" w:rsidR="008A3175" w:rsidRPr="005954E3" w:rsidRDefault="008A3175" w:rsidP="008A3175">
      <w:pPr>
        <w:ind w:left="1985" w:hanging="1985"/>
        <w:rPr>
          <w:rFonts w:ascii="Arial" w:eastAsia="SimSun" w:hAnsi="Arial" w:cs="Arial"/>
          <w:color w:val="000000"/>
        </w:rPr>
      </w:pPr>
      <w:r w:rsidRPr="005954E3">
        <w:rPr>
          <w:rFonts w:ascii="Arial" w:hAnsi="Arial" w:cs="Arial"/>
          <w:b/>
          <w:color w:val="000000"/>
        </w:rPr>
        <w:t>Agen</w:t>
      </w:r>
      <w:r w:rsidRPr="005954E3">
        <w:rPr>
          <w:rFonts w:ascii="Arial" w:eastAsia="SimSun" w:hAnsi="Arial" w:cs="Arial"/>
          <w:b/>
          <w:color w:val="000000"/>
        </w:rPr>
        <w:t>d</w:t>
      </w:r>
      <w:r w:rsidRPr="005954E3">
        <w:rPr>
          <w:rFonts w:ascii="Arial" w:hAnsi="Arial" w:cs="Arial"/>
          <w:b/>
          <w:color w:val="000000"/>
        </w:rPr>
        <w:t>a Item:</w:t>
      </w:r>
      <w:r w:rsidRPr="005954E3">
        <w:rPr>
          <w:rFonts w:ascii="Arial" w:hAnsi="Arial" w:cs="Arial"/>
          <w:color w:val="000000"/>
        </w:rPr>
        <w:tab/>
      </w:r>
      <w:r w:rsidR="009B4F20">
        <w:rPr>
          <w:rFonts w:ascii="Arial" w:hAnsi="Arial" w:cs="Arial"/>
          <w:color w:val="000000"/>
        </w:rPr>
        <w:t>7</w:t>
      </w:r>
      <w:r w:rsidR="00243AAA">
        <w:rPr>
          <w:rFonts w:ascii="Arial" w:hAnsi="Arial" w:cs="Arial"/>
          <w:color w:val="000000"/>
        </w:rPr>
        <w:t>.1.</w:t>
      </w:r>
      <w:r w:rsidR="00263B0C">
        <w:rPr>
          <w:rFonts w:ascii="Arial" w:hAnsi="Arial" w:cs="Arial"/>
          <w:color w:val="000000"/>
        </w:rPr>
        <w:t>2</w:t>
      </w:r>
      <w:r w:rsidR="00243AAA">
        <w:rPr>
          <w:rFonts w:ascii="Arial" w:hAnsi="Arial" w:cs="Arial"/>
          <w:color w:val="000000"/>
        </w:rPr>
        <w:t>.2.1</w:t>
      </w:r>
    </w:p>
    <w:p w14:paraId="7A3C583C" w14:textId="0E1F01CC" w:rsidR="008A3175" w:rsidRPr="0068157B" w:rsidRDefault="008A3175" w:rsidP="008A3175">
      <w:pPr>
        <w:tabs>
          <w:tab w:val="left" w:pos="1985"/>
        </w:tabs>
        <w:jc w:val="both"/>
        <w:rPr>
          <w:rFonts w:ascii="Arial" w:eastAsia="SimSun" w:hAnsi="Arial" w:cs="Arial"/>
        </w:rPr>
      </w:pPr>
      <w:r w:rsidRPr="0068157B">
        <w:rPr>
          <w:rFonts w:ascii="Arial" w:hAnsi="Arial" w:cs="Arial"/>
          <w:b/>
        </w:rPr>
        <w:t>Document for:</w:t>
      </w:r>
      <w:r w:rsidRPr="0068157B">
        <w:rPr>
          <w:rFonts w:ascii="Arial" w:hAnsi="Arial" w:cs="Arial"/>
        </w:rPr>
        <w:tab/>
      </w:r>
      <w:r w:rsidR="00A56E76">
        <w:rPr>
          <w:rFonts w:ascii="Arial" w:eastAsia="SimSun" w:hAnsi="Arial" w:cs="Arial"/>
          <w:lang w:eastAsia="zh-CN"/>
        </w:rPr>
        <w:t>Approval</w:t>
      </w:r>
    </w:p>
    <w:p w14:paraId="7E91F8C7" w14:textId="583DF5DD" w:rsidR="00667D0E" w:rsidRPr="004B7C60" w:rsidRDefault="001F5229" w:rsidP="000F7E57">
      <w:pPr>
        <w:pStyle w:val="1"/>
        <w:numPr>
          <w:ilvl w:val="0"/>
          <w:numId w:val="4"/>
        </w:numPr>
        <w:rPr>
          <w:rFonts w:cs="Arial"/>
        </w:rPr>
      </w:pPr>
      <w:r w:rsidRPr="00F71F2D">
        <w:rPr>
          <w:rFonts w:cs="Arial"/>
        </w:rPr>
        <w:t>Introduction</w:t>
      </w:r>
    </w:p>
    <w:p w14:paraId="3F1EDFF7" w14:textId="342A8213" w:rsidR="006113F6" w:rsidRPr="006113F6" w:rsidRDefault="00933016" w:rsidP="001035C4">
      <w:pPr>
        <w:rPr>
          <w:rFonts w:eastAsiaTheme="minorEastAsia"/>
          <w:color w:val="000000" w:themeColor="text1"/>
          <w:sz w:val="20"/>
          <w:szCs w:val="20"/>
        </w:rPr>
      </w:pPr>
      <w:bookmarkStart w:id="5" w:name="OLE_LINK135"/>
      <w:r w:rsidRPr="001E6890">
        <w:rPr>
          <w:sz w:val="20"/>
          <w:szCs w:val="20"/>
          <w:lang w:eastAsia="zh-CN"/>
        </w:rPr>
        <w:t>In RAN#11</w:t>
      </w:r>
      <w:r w:rsidR="006113F6">
        <w:rPr>
          <w:sz w:val="20"/>
          <w:szCs w:val="20"/>
          <w:lang w:eastAsia="zh-CN"/>
        </w:rPr>
        <w:t>4</w:t>
      </w:r>
      <w:r w:rsidR="001035C4">
        <w:rPr>
          <w:sz w:val="20"/>
          <w:szCs w:val="20"/>
          <w:lang w:eastAsia="zh-CN"/>
        </w:rPr>
        <w:t>bis</w:t>
      </w:r>
      <w:r w:rsidRPr="001E6890">
        <w:rPr>
          <w:sz w:val="20"/>
          <w:szCs w:val="20"/>
          <w:lang w:eastAsia="zh-CN"/>
        </w:rPr>
        <w:t xml:space="preserve">, </w:t>
      </w:r>
      <w:r w:rsidR="006113F6">
        <w:rPr>
          <w:sz w:val="20"/>
          <w:szCs w:val="20"/>
          <w:lang w:eastAsia="zh-CN"/>
        </w:rPr>
        <w:t>a</w:t>
      </w:r>
      <w:r w:rsidRPr="001E6890">
        <w:rPr>
          <w:sz w:val="20"/>
          <w:szCs w:val="20"/>
          <w:lang w:eastAsia="zh-CN"/>
        </w:rPr>
        <w:t xml:space="preserve"> WF was agreed upon in [1]. </w:t>
      </w:r>
      <w:bookmarkEnd w:id="5"/>
      <w:r w:rsidR="001035C4">
        <w:rPr>
          <w:rFonts w:eastAsiaTheme="minorEastAsia"/>
          <w:color w:val="000000" w:themeColor="text1"/>
          <w:sz w:val="20"/>
          <w:szCs w:val="20"/>
        </w:rPr>
        <w:t>This document aims to progress the further open issues</w:t>
      </w:r>
      <w:r w:rsidR="001B45B8" w:rsidRPr="001B45B8">
        <w:rPr>
          <w:rFonts w:eastAsiaTheme="minorEastAsia"/>
          <w:color w:val="000000" w:themeColor="text1"/>
          <w:sz w:val="20"/>
          <w:szCs w:val="20"/>
        </w:rPr>
        <w:t>.</w:t>
      </w:r>
    </w:p>
    <w:p w14:paraId="0360C973" w14:textId="49281B60" w:rsidR="00721138" w:rsidRDefault="009643A5" w:rsidP="00721138">
      <w:pPr>
        <w:pStyle w:val="1"/>
        <w:numPr>
          <w:ilvl w:val="0"/>
          <w:numId w:val="0"/>
        </w:numPr>
        <w:ind w:left="425" w:hanging="425"/>
      </w:pPr>
      <w:bookmarkStart w:id="6" w:name="OLE_LINK122"/>
      <w:bookmarkStart w:id="7" w:name="OLE_LINK60"/>
      <w:r>
        <w:t>2</w:t>
      </w:r>
      <w:r w:rsidR="00721138">
        <w:t xml:space="preserve">. </w:t>
      </w:r>
      <w:r w:rsidR="00F519D1">
        <w:t>Discussion</w:t>
      </w:r>
    </w:p>
    <w:p w14:paraId="478F0081" w14:textId="540D3C17" w:rsidR="00EC29A9" w:rsidRPr="00EC29A9" w:rsidRDefault="00EC29A9" w:rsidP="00EC29A9">
      <w:pPr>
        <w:overflowPunct w:val="0"/>
        <w:autoSpaceDE w:val="0"/>
        <w:autoSpaceDN w:val="0"/>
        <w:adjustRightInd w:val="0"/>
        <w:rPr>
          <w:rFonts w:eastAsiaTheme="minorEastAsia"/>
          <w:b/>
          <w:bCs/>
          <w:color w:val="000000" w:themeColor="text1"/>
          <w:sz w:val="20"/>
          <w:szCs w:val="20"/>
          <w:u w:val="single"/>
        </w:rPr>
      </w:pPr>
      <w:r w:rsidRPr="00EC29A9">
        <w:rPr>
          <w:rFonts w:eastAsiaTheme="minorEastAsia"/>
          <w:b/>
          <w:bCs/>
          <w:color w:val="000000" w:themeColor="text1"/>
          <w:sz w:val="20"/>
          <w:szCs w:val="20"/>
          <w:u w:val="single"/>
        </w:rPr>
        <w:t>Width/RB numbers of extended CBW at each side of UE CBW</w:t>
      </w:r>
    </w:p>
    <w:p w14:paraId="6DAB254B" w14:textId="24CF351A" w:rsidR="001035C4" w:rsidRPr="001035C4" w:rsidRDefault="001035C4" w:rsidP="001035C4">
      <w:pPr>
        <w:autoSpaceDN w:val="0"/>
        <w:spacing w:after="120"/>
        <w:rPr>
          <w:i/>
          <w:sz w:val="16"/>
          <w:szCs w:val="16"/>
          <w:highlight w:val="green"/>
          <w:lang w:eastAsia="zh-CN"/>
        </w:rPr>
      </w:pPr>
      <w:r w:rsidRPr="001035C4">
        <w:rPr>
          <w:i/>
          <w:sz w:val="20"/>
          <w:szCs w:val="20"/>
          <w:highlight w:val="green"/>
          <w:lang w:eastAsia="zh-CN"/>
        </w:rPr>
        <w:t>Agreement at RAN4#114bis:</w:t>
      </w:r>
    </w:p>
    <w:p w14:paraId="59C29F50" w14:textId="77777777" w:rsidR="001035C4" w:rsidRPr="001035C4" w:rsidRDefault="001035C4" w:rsidP="00263B0C">
      <w:pPr>
        <w:pStyle w:val="af4"/>
        <w:numPr>
          <w:ilvl w:val="0"/>
          <w:numId w:val="8"/>
        </w:numPr>
        <w:overflowPunct w:val="0"/>
        <w:autoSpaceDE w:val="0"/>
        <w:autoSpaceDN w:val="0"/>
        <w:adjustRightInd w:val="0"/>
        <w:spacing w:after="120"/>
        <w:contextualSpacing w:val="0"/>
        <w:jc w:val="both"/>
        <w:rPr>
          <w:i/>
          <w:sz w:val="20"/>
          <w:szCs w:val="20"/>
          <w:lang w:eastAsia="zh-CN"/>
        </w:rPr>
      </w:pPr>
      <w:r w:rsidRPr="001035C4">
        <w:rPr>
          <w:i/>
          <w:sz w:val="20"/>
          <w:szCs w:val="18"/>
          <w:lang w:eastAsia="zh-CN"/>
        </w:rPr>
        <w:t>Fixed value (0.5*CBW and/or 0.5*N</w:t>
      </w:r>
      <w:r w:rsidRPr="001035C4">
        <w:rPr>
          <w:i/>
          <w:sz w:val="20"/>
          <w:szCs w:val="18"/>
          <w:vertAlign w:val="subscript"/>
          <w:lang w:eastAsia="zh-CN"/>
        </w:rPr>
        <w:t>RB</w:t>
      </w:r>
      <w:r w:rsidRPr="001035C4">
        <w:rPr>
          <w:i/>
          <w:sz w:val="20"/>
          <w:szCs w:val="18"/>
          <w:lang w:eastAsia="zh-CN"/>
        </w:rPr>
        <w:t xml:space="preserve">) for </w:t>
      </w:r>
      <w:r w:rsidRPr="001035C4">
        <w:rPr>
          <w:rFonts w:cstheme="minorBidi"/>
          <w:bCs/>
          <w:i/>
          <w:kern w:val="2"/>
          <w:sz w:val="20"/>
          <w:szCs w:val="18"/>
          <w:lang w:eastAsia="zh-CN"/>
        </w:rPr>
        <w:t>Symmetrical/ Asymmetric</w:t>
      </w:r>
      <w:r w:rsidRPr="001035C4">
        <w:rPr>
          <w:i/>
          <w:sz w:val="20"/>
          <w:szCs w:val="18"/>
          <w:lang w:eastAsia="zh-CN"/>
        </w:rPr>
        <w:t xml:space="preserve"> by default for UE supporting the MPR reduction feature</w:t>
      </w:r>
    </w:p>
    <w:p w14:paraId="1A669DA7" w14:textId="77777777" w:rsidR="001035C4" w:rsidRPr="001035C4" w:rsidRDefault="001035C4" w:rsidP="00263B0C">
      <w:pPr>
        <w:pStyle w:val="af4"/>
        <w:numPr>
          <w:ilvl w:val="1"/>
          <w:numId w:val="8"/>
        </w:numPr>
        <w:overflowPunct w:val="0"/>
        <w:autoSpaceDE w:val="0"/>
        <w:autoSpaceDN w:val="0"/>
        <w:adjustRightInd w:val="0"/>
        <w:spacing w:after="120"/>
        <w:contextualSpacing w:val="0"/>
        <w:jc w:val="both"/>
        <w:rPr>
          <w:i/>
          <w:sz w:val="20"/>
          <w:szCs w:val="20"/>
          <w:lang w:eastAsia="zh-CN"/>
        </w:rPr>
      </w:pPr>
      <w:r w:rsidRPr="001035C4">
        <w:rPr>
          <w:i/>
          <w:sz w:val="20"/>
          <w:szCs w:val="18"/>
          <w:lang w:eastAsia="zh-CN"/>
        </w:rPr>
        <w:t>In addition, consider a limited number of additional fixed values with capability</w:t>
      </w:r>
    </w:p>
    <w:p w14:paraId="5685DBB5" w14:textId="77777777" w:rsidR="00550D9D" w:rsidRDefault="00550D9D" w:rsidP="0040594F">
      <w:pPr>
        <w:jc w:val="both"/>
        <w:rPr>
          <w:rFonts w:eastAsiaTheme="minorEastAsia"/>
          <w:sz w:val="20"/>
          <w:szCs w:val="20"/>
        </w:rPr>
      </w:pPr>
    </w:p>
    <w:p w14:paraId="19F7E5E2" w14:textId="1396812C" w:rsidR="002654FD" w:rsidRDefault="00550D9D" w:rsidP="0040594F">
      <w:pPr>
        <w:jc w:val="both"/>
        <w:rPr>
          <w:rFonts w:eastAsiaTheme="minorEastAsia"/>
          <w:sz w:val="20"/>
          <w:szCs w:val="20"/>
        </w:rPr>
      </w:pPr>
      <w:r>
        <w:rPr>
          <w:rFonts w:eastAsiaTheme="minorEastAsia"/>
          <w:sz w:val="20"/>
          <w:szCs w:val="20"/>
        </w:rPr>
        <w:t xml:space="preserve">Regarding whether to apply this for just the maximum CBW or smaller CBWs, we are open minded. There may be cases where the relaxed emission may apply in guardband, where the UE cannot be configured with a wider bandwidth, so it may make sense here to allow for smaller </w:t>
      </w:r>
      <w:r w:rsidR="001035C4">
        <w:rPr>
          <w:rFonts w:eastAsiaTheme="minorEastAsia"/>
          <w:sz w:val="20"/>
          <w:szCs w:val="20"/>
        </w:rPr>
        <w:t xml:space="preserve">UE </w:t>
      </w:r>
      <w:r>
        <w:rPr>
          <w:rFonts w:eastAsiaTheme="minorEastAsia"/>
          <w:sz w:val="20"/>
          <w:szCs w:val="20"/>
        </w:rPr>
        <w:t>CBWs.</w:t>
      </w:r>
      <w:r w:rsidR="002654FD">
        <w:rPr>
          <w:rFonts w:eastAsiaTheme="minorEastAsia"/>
          <w:sz w:val="20"/>
          <w:szCs w:val="20"/>
        </w:rPr>
        <w:t xml:space="preserve"> </w:t>
      </w:r>
    </w:p>
    <w:p w14:paraId="1F9BB185" w14:textId="77777777" w:rsidR="00315C87" w:rsidRDefault="00315C87" w:rsidP="0040594F">
      <w:pPr>
        <w:jc w:val="both"/>
        <w:rPr>
          <w:rFonts w:eastAsiaTheme="minorEastAsia"/>
          <w:sz w:val="20"/>
          <w:szCs w:val="20"/>
        </w:rPr>
      </w:pPr>
    </w:p>
    <w:p w14:paraId="21692151" w14:textId="116C1B5B" w:rsidR="00315C87" w:rsidRDefault="00315C87" w:rsidP="0040594F">
      <w:pPr>
        <w:jc w:val="both"/>
        <w:rPr>
          <w:rFonts w:eastAsiaTheme="minorEastAsia"/>
          <w:sz w:val="20"/>
          <w:szCs w:val="20"/>
        </w:rPr>
      </w:pPr>
      <w:r>
        <w:rPr>
          <w:rFonts w:eastAsiaTheme="minorEastAsia"/>
          <w:sz w:val="20"/>
          <w:szCs w:val="20"/>
        </w:rPr>
        <w:t>On applying smaller multiples than 0.5</w:t>
      </w:r>
      <w:r w:rsidR="004E7FF2">
        <w:rPr>
          <w:rFonts w:eastAsiaTheme="minorEastAsia"/>
          <w:sz w:val="20"/>
          <w:szCs w:val="20"/>
        </w:rPr>
        <w:t>*</w:t>
      </w:r>
      <w:r>
        <w:rPr>
          <w:rFonts w:eastAsiaTheme="minorEastAsia"/>
          <w:sz w:val="20"/>
          <w:szCs w:val="20"/>
        </w:rPr>
        <w:t>, we would suggest limit</w:t>
      </w:r>
      <w:r w:rsidR="004E7FF2">
        <w:rPr>
          <w:rFonts w:eastAsiaTheme="minorEastAsia"/>
          <w:sz w:val="20"/>
          <w:szCs w:val="20"/>
        </w:rPr>
        <w:t>ing</w:t>
      </w:r>
      <w:r>
        <w:rPr>
          <w:rFonts w:eastAsiaTheme="minorEastAsia"/>
          <w:sz w:val="20"/>
          <w:szCs w:val="20"/>
        </w:rPr>
        <w:t xml:space="preserve"> to no more than 2 points, due to diminishing returns with more granularity, not to mention testing complexity for devices. </w:t>
      </w:r>
    </w:p>
    <w:p w14:paraId="2B586349" w14:textId="4C7C693D" w:rsidR="004E7FF2" w:rsidRPr="00E9578F" w:rsidRDefault="004E7FF2" w:rsidP="004E7FF2">
      <w:pPr>
        <w:spacing w:before="120"/>
        <w:jc w:val="both"/>
        <w:rPr>
          <w:rFonts w:eastAsiaTheme="minorEastAsia"/>
          <w:b/>
          <w:bCs/>
          <w:sz w:val="20"/>
          <w:szCs w:val="20"/>
        </w:rPr>
      </w:pPr>
      <w:r w:rsidRPr="006D6DC8">
        <w:rPr>
          <w:b/>
          <w:bCs/>
          <w:sz w:val="20"/>
          <w:szCs w:val="20"/>
          <w:u w:val="single"/>
        </w:rPr>
        <w:t xml:space="preserve">Proposal </w:t>
      </w:r>
      <w:r>
        <w:rPr>
          <w:b/>
          <w:bCs/>
          <w:sz w:val="20"/>
          <w:szCs w:val="20"/>
          <w:u w:val="single"/>
        </w:rPr>
        <w:t>1</w:t>
      </w:r>
      <w:r w:rsidRPr="00E9578F">
        <w:rPr>
          <w:b/>
          <w:bCs/>
          <w:sz w:val="20"/>
          <w:szCs w:val="20"/>
        </w:rPr>
        <w:t xml:space="preserve">: Shifted OOBE </w:t>
      </w:r>
      <w:r>
        <w:rPr>
          <w:b/>
          <w:bCs/>
          <w:sz w:val="20"/>
          <w:szCs w:val="20"/>
        </w:rPr>
        <w:t>can be defined</w:t>
      </w:r>
      <w:r w:rsidRPr="00E9578F">
        <w:rPr>
          <w:b/>
          <w:bCs/>
          <w:sz w:val="20"/>
          <w:szCs w:val="20"/>
        </w:rPr>
        <w:t xml:space="preserve"> for any existing UE CBW up to the maximum CBW supported</w:t>
      </w:r>
      <w:r>
        <w:rPr>
          <w:b/>
          <w:bCs/>
          <w:sz w:val="20"/>
          <w:szCs w:val="20"/>
        </w:rPr>
        <w:t xml:space="preserve"> by UE</w:t>
      </w:r>
      <w:r w:rsidRPr="00E9578F">
        <w:rPr>
          <w:b/>
          <w:bCs/>
          <w:sz w:val="20"/>
          <w:szCs w:val="20"/>
        </w:rPr>
        <w:t>.</w:t>
      </w:r>
    </w:p>
    <w:p w14:paraId="547E8559" w14:textId="72425C11" w:rsidR="00315C87" w:rsidRDefault="00911113" w:rsidP="004A34B4">
      <w:pPr>
        <w:pStyle w:val="af4"/>
        <w:spacing w:before="120" w:after="120"/>
        <w:ind w:left="0"/>
        <w:contextualSpacing w:val="0"/>
        <w:rPr>
          <w:b/>
          <w:bCs/>
          <w:sz w:val="20"/>
          <w:szCs w:val="20"/>
        </w:rPr>
      </w:pPr>
      <w:r w:rsidRPr="004A34B4">
        <w:rPr>
          <w:b/>
          <w:bCs/>
          <w:sz w:val="20"/>
          <w:szCs w:val="20"/>
          <w:u w:val="single"/>
        </w:rPr>
        <w:t xml:space="preserve">Proposal </w:t>
      </w:r>
      <w:r w:rsidR="004E7FF2">
        <w:rPr>
          <w:b/>
          <w:bCs/>
          <w:sz w:val="20"/>
          <w:szCs w:val="20"/>
          <w:u w:val="single"/>
        </w:rPr>
        <w:t>2</w:t>
      </w:r>
      <w:r w:rsidRPr="00911113">
        <w:rPr>
          <w:b/>
          <w:bCs/>
          <w:sz w:val="20"/>
          <w:szCs w:val="20"/>
        </w:rPr>
        <w:t xml:space="preserve">: </w:t>
      </w:r>
      <w:r w:rsidR="001035C4">
        <w:rPr>
          <w:b/>
          <w:bCs/>
          <w:sz w:val="20"/>
          <w:szCs w:val="20"/>
        </w:rPr>
        <w:t xml:space="preserve">If </w:t>
      </w:r>
      <w:r w:rsidRPr="004A34B4">
        <w:rPr>
          <w:b/>
          <w:bCs/>
          <w:sz w:val="20"/>
          <w:szCs w:val="20"/>
        </w:rPr>
        <w:t>smaller values other than 0.5* UE CBW</w:t>
      </w:r>
      <w:r w:rsidR="00361E61">
        <w:rPr>
          <w:b/>
          <w:bCs/>
          <w:sz w:val="20"/>
          <w:szCs w:val="20"/>
        </w:rPr>
        <w:t xml:space="preserve"> </w:t>
      </w:r>
      <w:r w:rsidRPr="004A34B4">
        <w:rPr>
          <w:b/>
          <w:bCs/>
          <w:sz w:val="20"/>
          <w:szCs w:val="20"/>
        </w:rPr>
        <w:t>are specified, they should be limited to</w:t>
      </w:r>
      <w:r w:rsidR="00315C87">
        <w:rPr>
          <w:b/>
          <w:bCs/>
          <w:sz w:val="20"/>
          <w:szCs w:val="20"/>
        </w:rPr>
        <w:t xml:space="preserve"> a maximum of</w:t>
      </w:r>
      <w:r w:rsidR="00CA2109" w:rsidRPr="001035C4">
        <w:rPr>
          <w:b/>
          <w:bCs/>
          <w:sz w:val="20"/>
          <w:szCs w:val="20"/>
        </w:rPr>
        <w:t xml:space="preserve"> 2</w:t>
      </w:r>
      <w:r w:rsidRPr="004A34B4">
        <w:rPr>
          <w:b/>
          <w:bCs/>
          <w:sz w:val="20"/>
          <w:szCs w:val="20"/>
        </w:rPr>
        <w:t xml:space="preserve"> discrete points</w:t>
      </w:r>
      <w:r w:rsidR="00315C87">
        <w:rPr>
          <w:b/>
          <w:bCs/>
          <w:sz w:val="20"/>
          <w:szCs w:val="20"/>
        </w:rPr>
        <w:t xml:space="preserve">. </w:t>
      </w:r>
    </w:p>
    <w:p w14:paraId="4549A33B" w14:textId="4BEB877C" w:rsidR="004E7FF2" w:rsidRDefault="004E7FF2" w:rsidP="00EB754F">
      <w:pPr>
        <w:spacing w:before="120"/>
        <w:jc w:val="both"/>
        <w:rPr>
          <w:rFonts w:eastAsiaTheme="minorEastAsia"/>
          <w:sz w:val="20"/>
          <w:szCs w:val="20"/>
        </w:rPr>
      </w:pPr>
      <w:r>
        <w:rPr>
          <w:rFonts w:eastAsiaTheme="minorEastAsia"/>
          <w:sz w:val="20"/>
          <w:szCs w:val="20"/>
        </w:rPr>
        <w:t>On whether to apply 0.5*UE CBW or 0.5*N</w:t>
      </w:r>
      <w:r>
        <w:rPr>
          <w:rFonts w:eastAsiaTheme="minorEastAsia"/>
          <w:sz w:val="20"/>
          <w:szCs w:val="20"/>
          <w:vertAlign w:val="subscript"/>
        </w:rPr>
        <w:t>RB</w:t>
      </w:r>
      <w:r>
        <w:rPr>
          <w:rFonts w:eastAsiaTheme="minorEastAsia"/>
          <w:sz w:val="20"/>
          <w:szCs w:val="20"/>
        </w:rPr>
        <w:t xml:space="preserve">, </w:t>
      </w:r>
      <w:r w:rsidR="00EB754F">
        <w:rPr>
          <w:rFonts w:eastAsiaTheme="minorEastAsia"/>
          <w:sz w:val="20"/>
          <w:szCs w:val="20"/>
        </w:rPr>
        <w:t>we have simulated</w:t>
      </w:r>
      <w:r>
        <w:rPr>
          <w:rFonts w:eastAsiaTheme="minorEastAsia"/>
          <w:sz w:val="20"/>
          <w:szCs w:val="20"/>
        </w:rPr>
        <w:t xml:space="preserve"> the Symmetrical and Asymmetrical shifted OOBE </w:t>
      </w:r>
      <w:r w:rsidR="00EB754F">
        <w:rPr>
          <w:rFonts w:eastAsiaTheme="minorEastAsia"/>
          <w:sz w:val="20"/>
          <w:szCs w:val="20"/>
        </w:rPr>
        <w:t>for</w:t>
      </w:r>
      <w:r>
        <w:rPr>
          <w:rFonts w:eastAsiaTheme="minorEastAsia"/>
          <w:sz w:val="20"/>
          <w:szCs w:val="20"/>
        </w:rPr>
        <w:t xml:space="preserve"> 0.5 * CBW</w:t>
      </w:r>
      <w:r w:rsidR="00EB754F">
        <w:rPr>
          <w:rFonts w:eastAsiaTheme="minorEastAsia"/>
          <w:sz w:val="20"/>
          <w:szCs w:val="20"/>
        </w:rPr>
        <w:t xml:space="preserve"> and ceil (0.5 * N</w:t>
      </w:r>
      <w:r w:rsidR="00EB754F" w:rsidRPr="00EB754F">
        <w:rPr>
          <w:rFonts w:eastAsiaTheme="minorEastAsia"/>
          <w:sz w:val="20"/>
          <w:szCs w:val="20"/>
          <w:vertAlign w:val="subscript"/>
        </w:rPr>
        <w:t>RB</w:t>
      </w:r>
      <w:r w:rsidR="00EB754F">
        <w:rPr>
          <w:rFonts w:eastAsiaTheme="minorEastAsia"/>
          <w:sz w:val="20"/>
          <w:szCs w:val="20"/>
        </w:rPr>
        <w:t>) shift</w:t>
      </w:r>
      <w:r w:rsidR="002F582B">
        <w:rPr>
          <w:rFonts w:eastAsiaTheme="minorEastAsia"/>
          <w:sz w:val="20"/>
          <w:szCs w:val="20"/>
        </w:rPr>
        <w:t xml:space="preserve"> (with original UE CBW guardband added)</w:t>
      </w:r>
      <w:r>
        <w:rPr>
          <w:rFonts w:eastAsiaTheme="minorEastAsia"/>
          <w:sz w:val="20"/>
          <w:szCs w:val="20"/>
        </w:rPr>
        <w:t>. The 20MHz results below are for 15kHz SCS which is a worst case than 30kHz SCS in terms of N</w:t>
      </w:r>
      <w:r>
        <w:rPr>
          <w:rFonts w:eastAsiaTheme="minorEastAsia"/>
          <w:sz w:val="20"/>
          <w:szCs w:val="20"/>
          <w:vertAlign w:val="subscript"/>
        </w:rPr>
        <w:t>RB</w:t>
      </w:r>
      <w:r>
        <w:rPr>
          <w:rFonts w:eastAsiaTheme="minorEastAsia"/>
          <w:sz w:val="20"/>
          <w:szCs w:val="20"/>
        </w:rPr>
        <w:t xml:space="preserve"> and spectrum utilization. Therefore, the equivalent ratios can apply for 30kHz SCS too.</w:t>
      </w:r>
      <w:r w:rsidR="00EB754F">
        <w:rPr>
          <w:rFonts w:eastAsiaTheme="minorEastAsia"/>
          <w:sz w:val="20"/>
          <w:szCs w:val="20"/>
        </w:rPr>
        <w:t xml:space="preserve"> The Tables below show that in both cases, there should be no problem to apply either 0.5*UE CBW or ceil(0.5 * N</w:t>
      </w:r>
      <w:r w:rsidR="00EB754F">
        <w:rPr>
          <w:rFonts w:eastAsiaTheme="minorEastAsia"/>
          <w:sz w:val="20"/>
          <w:szCs w:val="20"/>
          <w:vertAlign w:val="subscript"/>
        </w:rPr>
        <w:t>RB</w:t>
      </w:r>
      <w:r w:rsidR="00EB754F">
        <w:rPr>
          <w:rFonts w:eastAsiaTheme="minorEastAsia"/>
          <w:sz w:val="20"/>
          <w:szCs w:val="20"/>
        </w:rPr>
        <w:t>).</w:t>
      </w:r>
    </w:p>
    <w:p w14:paraId="2E465C1A" w14:textId="37B2943A" w:rsidR="00364F4B" w:rsidRDefault="00EB754F" w:rsidP="00EB754F">
      <w:pPr>
        <w:spacing w:before="120"/>
        <w:jc w:val="both"/>
        <w:rPr>
          <w:rFonts w:eastAsiaTheme="minorEastAsia"/>
          <w:b/>
          <w:bCs/>
          <w:sz w:val="20"/>
          <w:szCs w:val="20"/>
        </w:rPr>
      </w:pPr>
      <w:r w:rsidRPr="00EB754F">
        <w:rPr>
          <w:rFonts w:eastAsiaTheme="minorEastAsia"/>
          <w:b/>
          <w:bCs/>
          <w:sz w:val="20"/>
          <w:szCs w:val="20"/>
          <w:u w:val="single"/>
        </w:rPr>
        <w:t>Proposal 3</w:t>
      </w:r>
      <w:r w:rsidRPr="00EB754F">
        <w:rPr>
          <w:rFonts w:eastAsiaTheme="minorEastAsia"/>
          <w:b/>
          <w:bCs/>
          <w:sz w:val="20"/>
          <w:szCs w:val="20"/>
        </w:rPr>
        <w:t>: Either 0.5 * CBW and ceil(0.5 * N</w:t>
      </w:r>
      <w:r w:rsidRPr="00EB754F">
        <w:rPr>
          <w:rFonts w:eastAsiaTheme="minorEastAsia"/>
          <w:b/>
          <w:bCs/>
          <w:sz w:val="20"/>
          <w:szCs w:val="20"/>
          <w:vertAlign w:val="subscript"/>
        </w:rPr>
        <w:t>RB</w:t>
      </w:r>
      <w:r w:rsidRPr="00EB754F">
        <w:rPr>
          <w:rFonts w:eastAsiaTheme="minorEastAsia"/>
          <w:b/>
          <w:bCs/>
          <w:sz w:val="20"/>
          <w:szCs w:val="20"/>
        </w:rPr>
        <w:t xml:space="preserve">) shift are acceptable to be adopted, </w:t>
      </w:r>
      <w:r w:rsidR="00364F4B">
        <w:rPr>
          <w:rFonts w:eastAsiaTheme="minorEastAsia"/>
          <w:b/>
          <w:bCs/>
          <w:sz w:val="20"/>
          <w:szCs w:val="20"/>
        </w:rPr>
        <w:t xml:space="preserve">with the following requirements applicable for </w:t>
      </w:r>
      <w:r w:rsidR="00364F4B">
        <w:rPr>
          <w:b/>
          <w:bCs/>
          <w:sz w:val="20"/>
          <w:szCs w:val="20"/>
        </w:rPr>
        <w:t>modulations of QPSK and 16QAM and for both DFT-S-OFDM and CP-OFDM waveforms for PC3 (with applicability for PC2 FFS)</w:t>
      </w:r>
      <w:r w:rsidR="00364F4B">
        <w:rPr>
          <w:rFonts w:eastAsiaTheme="minorEastAsia"/>
          <w:b/>
          <w:bCs/>
          <w:sz w:val="20"/>
          <w:szCs w:val="20"/>
        </w:rPr>
        <w:t>:</w:t>
      </w:r>
    </w:p>
    <w:p w14:paraId="75803767" w14:textId="0F3F9628" w:rsidR="00364F4B" w:rsidRDefault="00364F4B" w:rsidP="00263B0C">
      <w:pPr>
        <w:pStyle w:val="af4"/>
        <w:numPr>
          <w:ilvl w:val="0"/>
          <w:numId w:val="8"/>
        </w:numPr>
        <w:spacing w:before="120"/>
        <w:ind w:left="357" w:hanging="357"/>
        <w:contextualSpacing w:val="0"/>
        <w:jc w:val="both"/>
        <w:rPr>
          <w:rFonts w:eastAsiaTheme="minorEastAsia"/>
          <w:b/>
          <w:bCs/>
          <w:sz w:val="20"/>
          <w:szCs w:val="20"/>
        </w:rPr>
      </w:pPr>
      <w:r>
        <w:rPr>
          <w:rFonts w:eastAsiaTheme="minorEastAsia"/>
          <w:b/>
          <w:bCs/>
          <w:sz w:val="20"/>
          <w:szCs w:val="20"/>
        </w:rPr>
        <w:t>M</w:t>
      </w:r>
      <w:r w:rsidR="00EB754F" w:rsidRPr="00364F4B">
        <w:rPr>
          <w:rFonts w:eastAsiaTheme="minorEastAsia"/>
          <w:b/>
          <w:bCs/>
          <w:sz w:val="20"/>
          <w:szCs w:val="20"/>
        </w:rPr>
        <w:t>aximum inner RB allocation of L</w:t>
      </w:r>
      <w:r w:rsidR="00EB754F" w:rsidRPr="00364F4B">
        <w:rPr>
          <w:rFonts w:eastAsiaTheme="minorEastAsia"/>
          <w:b/>
          <w:bCs/>
          <w:sz w:val="20"/>
          <w:szCs w:val="20"/>
          <w:vertAlign w:val="subscript"/>
        </w:rPr>
        <w:t>CRB</w:t>
      </w:r>
      <w:r w:rsidR="00EB754F" w:rsidRPr="00364F4B">
        <w:rPr>
          <w:rFonts w:eastAsiaTheme="minorEastAsia"/>
          <w:b/>
          <w:bCs/>
          <w:sz w:val="20"/>
          <w:szCs w:val="20"/>
        </w:rPr>
        <w:t xml:space="preserve"> = N</w:t>
      </w:r>
      <w:r w:rsidR="00EB754F" w:rsidRPr="00364F4B">
        <w:rPr>
          <w:rFonts w:eastAsiaTheme="minorEastAsia"/>
          <w:b/>
          <w:bCs/>
          <w:sz w:val="20"/>
          <w:szCs w:val="20"/>
          <w:vertAlign w:val="subscript"/>
        </w:rPr>
        <w:t>RB</w:t>
      </w:r>
      <w:r w:rsidR="00EB754F" w:rsidRPr="00364F4B">
        <w:rPr>
          <w:rFonts w:eastAsiaTheme="minorEastAsia"/>
          <w:b/>
          <w:bCs/>
          <w:sz w:val="20"/>
          <w:szCs w:val="20"/>
        </w:rPr>
        <w:t xml:space="preserve"> for symmetrical shift of 0.5</w:t>
      </w:r>
      <w:r>
        <w:rPr>
          <w:rFonts w:eastAsiaTheme="minorEastAsia"/>
          <w:b/>
          <w:bCs/>
          <w:sz w:val="20"/>
          <w:szCs w:val="20"/>
        </w:rPr>
        <w:t>*</w:t>
      </w:r>
      <w:r w:rsidR="00EB754F" w:rsidRPr="00364F4B">
        <w:rPr>
          <w:rFonts w:eastAsiaTheme="minorEastAsia"/>
          <w:b/>
          <w:bCs/>
          <w:sz w:val="20"/>
          <w:szCs w:val="20"/>
        </w:rPr>
        <w:t xml:space="preserve"> on each side, and L</w:t>
      </w:r>
      <w:r w:rsidR="00EB754F" w:rsidRPr="00364F4B">
        <w:rPr>
          <w:rFonts w:eastAsiaTheme="minorEastAsia"/>
          <w:b/>
          <w:bCs/>
          <w:sz w:val="20"/>
          <w:szCs w:val="20"/>
          <w:vertAlign w:val="subscript"/>
        </w:rPr>
        <w:t>CRB</w:t>
      </w:r>
      <w:r w:rsidR="00EB754F" w:rsidRPr="00364F4B">
        <w:rPr>
          <w:rFonts w:eastAsiaTheme="minorEastAsia"/>
          <w:b/>
          <w:bCs/>
          <w:sz w:val="20"/>
          <w:szCs w:val="20"/>
        </w:rPr>
        <w:t xml:space="preserve"> = 2*N</w:t>
      </w:r>
      <w:r w:rsidR="00EB754F" w:rsidRPr="00364F4B">
        <w:rPr>
          <w:rFonts w:eastAsiaTheme="minorEastAsia"/>
          <w:b/>
          <w:bCs/>
          <w:sz w:val="20"/>
          <w:szCs w:val="20"/>
          <w:vertAlign w:val="subscript"/>
        </w:rPr>
        <w:t>RB</w:t>
      </w:r>
      <w:r w:rsidR="00EB754F" w:rsidRPr="00364F4B">
        <w:rPr>
          <w:rFonts w:eastAsiaTheme="minorEastAsia"/>
          <w:b/>
          <w:bCs/>
          <w:sz w:val="20"/>
          <w:szCs w:val="20"/>
        </w:rPr>
        <w:t>/3 for an asymmetrical shift of 0.5</w:t>
      </w:r>
      <w:r>
        <w:rPr>
          <w:rFonts w:eastAsiaTheme="minorEastAsia"/>
          <w:b/>
          <w:bCs/>
          <w:sz w:val="20"/>
          <w:szCs w:val="20"/>
        </w:rPr>
        <w:t>*</w:t>
      </w:r>
      <w:r w:rsidR="00EB754F" w:rsidRPr="00364F4B">
        <w:rPr>
          <w:rFonts w:eastAsiaTheme="minorEastAsia"/>
          <w:b/>
          <w:bCs/>
          <w:sz w:val="20"/>
          <w:szCs w:val="20"/>
        </w:rPr>
        <w:t xml:space="preserve"> on one side and zero on the other side.</w:t>
      </w:r>
      <w:r>
        <w:rPr>
          <w:rFonts w:eastAsiaTheme="minorEastAsia"/>
          <w:b/>
          <w:bCs/>
          <w:sz w:val="20"/>
          <w:szCs w:val="20"/>
        </w:rPr>
        <w:t xml:space="preserve"> Maximum inner RB allocation of L</w:t>
      </w:r>
      <w:r w:rsidRPr="00364F4B">
        <w:rPr>
          <w:rFonts w:eastAsiaTheme="minorEastAsia"/>
          <w:b/>
          <w:bCs/>
          <w:sz w:val="20"/>
          <w:szCs w:val="20"/>
          <w:vertAlign w:val="subscript"/>
        </w:rPr>
        <w:t>CRB</w:t>
      </w:r>
      <w:r>
        <w:rPr>
          <w:rFonts w:eastAsiaTheme="minorEastAsia"/>
          <w:b/>
          <w:bCs/>
          <w:sz w:val="20"/>
          <w:szCs w:val="20"/>
        </w:rPr>
        <w:t xml:space="preserve"> for any potential additional multiplier values smaller than 0.5*N</w:t>
      </w:r>
      <w:r w:rsidRPr="00364F4B">
        <w:rPr>
          <w:rFonts w:eastAsiaTheme="minorEastAsia"/>
          <w:b/>
          <w:bCs/>
          <w:sz w:val="20"/>
          <w:szCs w:val="20"/>
          <w:vertAlign w:val="subscript"/>
        </w:rPr>
        <w:t>RB</w:t>
      </w:r>
      <w:r>
        <w:rPr>
          <w:rFonts w:eastAsiaTheme="minorEastAsia"/>
          <w:b/>
          <w:bCs/>
          <w:sz w:val="20"/>
          <w:szCs w:val="20"/>
        </w:rPr>
        <w:t xml:space="preserve"> are FFS.</w:t>
      </w:r>
    </w:p>
    <w:p w14:paraId="53C9D821" w14:textId="55354138" w:rsidR="002F582B" w:rsidRPr="00364F4B" w:rsidRDefault="002F582B" w:rsidP="00263B0C">
      <w:pPr>
        <w:pStyle w:val="af4"/>
        <w:numPr>
          <w:ilvl w:val="0"/>
          <w:numId w:val="8"/>
        </w:numPr>
        <w:spacing w:before="120"/>
        <w:ind w:left="357" w:hanging="357"/>
        <w:contextualSpacing w:val="0"/>
        <w:jc w:val="both"/>
        <w:rPr>
          <w:rFonts w:eastAsiaTheme="minorEastAsia"/>
          <w:b/>
          <w:bCs/>
          <w:sz w:val="20"/>
          <w:szCs w:val="20"/>
        </w:rPr>
      </w:pPr>
      <w:r>
        <w:rPr>
          <w:rFonts w:eastAsiaTheme="minorEastAsia"/>
          <w:b/>
          <w:bCs/>
          <w:sz w:val="20"/>
          <w:szCs w:val="20"/>
        </w:rPr>
        <w:t>If the 0.5*N</w:t>
      </w:r>
      <w:r w:rsidRPr="002F582B">
        <w:rPr>
          <w:rFonts w:eastAsiaTheme="minorEastAsia"/>
          <w:b/>
          <w:bCs/>
          <w:sz w:val="20"/>
          <w:szCs w:val="20"/>
          <w:vertAlign w:val="subscript"/>
        </w:rPr>
        <w:t>RB</w:t>
      </w:r>
      <w:r>
        <w:rPr>
          <w:rFonts w:eastAsiaTheme="minorEastAsia"/>
          <w:b/>
          <w:bCs/>
          <w:sz w:val="20"/>
          <w:szCs w:val="20"/>
        </w:rPr>
        <w:t xml:space="preserve"> approach is selected, a guardband of the “original UE CBW” guardband should be added between the last RB of 0.5*N</w:t>
      </w:r>
      <w:r w:rsidRPr="002F582B">
        <w:rPr>
          <w:rFonts w:eastAsiaTheme="minorEastAsia"/>
          <w:b/>
          <w:bCs/>
          <w:sz w:val="20"/>
          <w:szCs w:val="20"/>
          <w:vertAlign w:val="subscript"/>
        </w:rPr>
        <w:t>RB</w:t>
      </w:r>
      <w:r>
        <w:rPr>
          <w:rFonts w:eastAsiaTheme="minorEastAsia"/>
          <w:b/>
          <w:bCs/>
          <w:sz w:val="20"/>
          <w:szCs w:val="20"/>
        </w:rPr>
        <w:t xml:space="preserve"> and the start of the shifted OOBE region.</w:t>
      </w:r>
    </w:p>
    <w:p w14:paraId="3507DFE2" w14:textId="77777777" w:rsidR="004E7FF2" w:rsidRDefault="004E7FF2" w:rsidP="004E7FF2">
      <w:pPr>
        <w:jc w:val="both"/>
        <w:rPr>
          <w:rFonts w:eastAsiaTheme="minorEastAsia"/>
          <w:sz w:val="20"/>
          <w:szCs w:val="20"/>
        </w:rPr>
      </w:pPr>
    </w:p>
    <w:p w14:paraId="0A24A597" w14:textId="430C5FEE" w:rsidR="004E7FF2" w:rsidRDefault="004E7FF2" w:rsidP="004E7FF2">
      <w:pPr>
        <w:jc w:val="center"/>
        <w:rPr>
          <w:b/>
          <w:bCs/>
          <w:sz w:val="20"/>
          <w:szCs w:val="20"/>
          <w:lang w:val="en-GB" w:eastAsia="de-DE"/>
        </w:rPr>
      </w:pPr>
      <w:r>
        <w:rPr>
          <w:b/>
          <w:bCs/>
          <w:sz w:val="20"/>
          <w:szCs w:val="20"/>
          <w:lang w:val="en-GB" w:eastAsia="de-DE"/>
        </w:rPr>
        <w:t>Table 1a: Evaluation results for Symmetric shifted OOBE (20MHz CBW with 0.5* shift both sides</w:t>
      </w:r>
    </w:p>
    <w:tbl>
      <w:tblPr>
        <w:tblStyle w:val="a7"/>
        <w:tblW w:w="0" w:type="auto"/>
        <w:tblLook w:val="04A0" w:firstRow="1" w:lastRow="0" w:firstColumn="1" w:lastColumn="0" w:noHBand="0" w:noVBand="1"/>
      </w:tblPr>
      <w:tblGrid>
        <w:gridCol w:w="2830"/>
        <w:gridCol w:w="3686"/>
        <w:gridCol w:w="1559"/>
        <w:gridCol w:w="1418"/>
      </w:tblGrid>
      <w:tr w:rsidR="004E7FF2" w14:paraId="619B85EE" w14:textId="77777777" w:rsidTr="004E7FF2">
        <w:tc>
          <w:tcPr>
            <w:tcW w:w="2830" w:type="dxa"/>
            <w:tcBorders>
              <w:top w:val="single" w:sz="4" w:space="0" w:color="auto"/>
              <w:left w:val="single" w:sz="4" w:space="0" w:color="auto"/>
              <w:bottom w:val="single" w:sz="4" w:space="0" w:color="auto"/>
              <w:right w:val="single" w:sz="4" w:space="0" w:color="auto"/>
            </w:tcBorders>
            <w:hideMark/>
          </w:tcPr>
          <w:p w14:paraId="3AF14615" w14:textId="77777777" w:rsidR="004E7FF2" w:rsidRDefault="004E7FF2">
            <w:pPr>
              <w:rPr>
                <w:b/>
                <w:bCs/>
                <w:sz w:val="20"/>
                <w:szCs w:val="20"/>
                <w:lang w:val="en-GB" w:eastAsia="ja-JP"/>
              </w:rPr>
            </w:pPr>
            <w:r>
              <w:rPr>
                <w:b/>
                <w:bCs/>
                <w:sz w:val="20"/>
                <w:szCs w:val="20"/>
                <w:lang w:val="en-GB" w:eastAsia="ja-JP"/>
              </w:rPr>
              <w:t>Waveform, Mod, Tx power</w:t>
            </w:r>
          </w:p>
        </w:tc>
        <w:tc>
          <w:tcPr>
            <w:tcW w:w="3686" w:type="dxa"/>
            <w:tcBorders>
              <w:top w:val="single" w:sz="4" w:space="0" w:color="auto"/>
              <w:left w:val="single" w:sz="4" w:space="0" w:color="auto"/>
              <w:bottom w:val="single" w:sz="4" w:space="0" w:color="auto"/>
              <w:right w:val="single" w:sz="4" w:space="0" w:color="auto"/>
            </w:tcBorders>
            <w:hideMark/>
          </w:tcPr>
          <w:p w14:paraId="551A5E42" w14:textId="77777777" w:rsidR="004E7FF2" w:rsidRDefault="004E7FF2">
            <w:pPr>
              <w:rPr>
                <w:b/>
                <w:bCs/>
                <w:sz w:val="20"/>
                <w:szCs w:val="20"/>
                <w:lang w:val="en-GB" w:eastAsia="ja-JP"/>
              </w:rPr>
            </w:pPr>
            <w:r>
              <w:rPr>
                <w:b/>
                <w:bCs/>
                <w:sz w:val="20"/>
                <w:szCs w:val="20"/>
                <w:lang w:val="en-GB" w:eastAsia="ja-JP"/>
              </w:rPr>
              <w:t>RB allocation (RB</w:t>
            </w:r>
            <w:r>
              <w:rPr>
                <w:b/>
                <w:bCs/>
                <w:sz w:val="20"/>
                <w:szCs w:val="20"/>
                <w:vertAlign w:val="subscript"/>
                <w:lang w:val="en-GB" w:eastAsia="ja-JP"/>
              </w:rPr>
              <w:t>start</w:t>
            </w:r>
            <w:r>
              <w:rPr>
                <w:b/>
                <w:bCs/>
                <w:sz w:val="20"/>
                <w:szCs w:val="20"/>
                <w:lang w:val="en-GB" w:eastAsia="ja-JP"/>
              </w:rPr>
              <w:t>, L</w:t>
            </w:r>
            <w:r>
              <w:rPr>
                <w:b/>
                <w:bCs/>
                <w:sz w:val="20"/>
                <w:szCs w:val="20"/>
                <w:vertAlign w:val="subscript"/>
                <w:lang w:val="en-GB" w:eastAsia="ja-JP"/>
              </w:rPr>
              <w:t>CRB</w:t>
            </w:r>
            <w:r>
              <w:rPr>
                <w:b/>
                <w:bCs/>
                <w:sz w:val="20"/>
                <w:szCs w:val="20"/>
                <w:lang w:val="en-GB"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6F9EE084" w14:textId="77777777" w:rsidR="004E7FF2" w:rsidRDefault="004E7FF2">
            <w:pPr>
              <w:rPr>
                <w:b/>
                <w:bCs/>
                <w:sz w:val="20"/>
                <w:szCs w:val="20"/>
                <w:lang w:val="en-GB" w:eastAsia="ja-JP"/>
              </w:rPr>
            </w:pPr>
            <w:r>
              <w:rPr>
                <w:b/>
                <w:bCs/>
                <w:sz w:val="20"/>
                <w:szCs w:val="20"/>
                <w:lang w:val="en-GB" w:eastAsia="ja-JP"/>
              </w:rPr>
              <w:t>ACLR Pass/fail</w:t>
            </w:r>
          </w:p>
        </w:tc>
        <w:tc>
          <w:tcPr>
            <w:tcW w:w="1418" w:type="dxa"/>
            <w:tcBorders>
              <w:top w:val="single" w:sz="4" w:space="0" w:color="auto"/>
              <w:left w:val="single" w:sz="4" w:space="0" w:color="auto"/>
              <w:bottom w:val="single" w:sz="4" w:space="0" w:color="auto"/>
              <w:right w:val="single" w:sz="4" w:space="0" w:color="auto"/>
            </w:tcBorders>
            <w:hideMark/>
          </w:tcPr>
          <w:p w14:paraId="3D18204A" w14:textId="77777777" w:rsidR="004E7FF2" w:rsidRDefault="004E7FF2">
            <w:pPr>
              <w:rPr>
                <w:b/>
                <w:bCs/>
                <w:sz w:val="20"/>
                <w:szCs w:val="20"/>
                <w:lang w:val="en-GB" w:eastAsia="ja-JP"/>
              </w:rPr>
            </w:pPr>
            <w:r>
              <w:rPr>
                <w:b/>
                <w:bCs/>
                <w:sz w:val="20"/>
                <w:szCs w:val="20"/>
                <w:lang w:val="en-GB" w:eastAsia="ja-JP"/>
              </w:rPr>
              <w:t>SEM Pass/fail</w:t>
            </w:r>
          </w:p>
        </w:tc>
      </w:tr>
      <w:tr w:rsidR="004E7FF2" w14:paraId="15E129C0" w14:textId="77777777" w:rsidTr="004E7FF2">
        <w:tc>
          <w:tcPr>
            <w:tcW w:w="2830" w:type="dxa"/>
            <w:tcBorders>
              <w:top w:val="single" w:sz="4" w:space="0" w:color="auto"/>
              <w:left w:val="single" w:sz="4" w:space="0" w:color="auto"/>
              <w:bottom w:val="single" w:sz="4" w:space="0" w:color="auto"/>
              <w:right w:val="single" w:sz="4" w:space="0" w:color="auto"/>
            </w:tcBorders>
            <w:hideMark/>
          </w:tcPr>
          <w:p w14:paraId="266DED81" w14:textId="77777777" w:rsidR="004E7FF2" w:rsidRDefault="004E7FF2">
            <w:pPr>
              <w:rPr>
                <w:sz w:val="20"/>
                <w:szCs w:val="20"/>
                <w:lang w:val="en-GB" w:eastAsia="ja-JP"/>
              </w:rPr>
            </w:pPr>
            <w:r>
              <w:rPr>
                <w:sz w:val="20"/>
                <w:szCs w:val="20"/>
                <w:lang w:val="en-GB" w:eastAsia="ja-JP"/>
              </w:rPr>
              <w:t>DFT-s-OFDM, QPSK, 23dBm</w:t>
            </w:r>
          </w:p>
        </w:tc>
        <w:tc>
          <w:tcPr>
            <w:tcW w:w="3686" w:type="dxa"/>
            <w:tcBorders>
              <w:top w:val="single" w:sz="4" w:space="0" w:color="auto"/>
              <w:left w:val="single" w:sz="4" w:space="0" w:color="auto"/>
              <w:bottom w:val="single" w:sz="4" w:space="0" w:color="auto"/>
              <w:right w:val="single" w:sz="4" w:space="0" w:color="auto"/>
            </w:tcBorders>
            <w:hideMark/>
          </w:tcPr>
          <w:p w14:paraId="623D32DF" w14:textId="77777777" w:rsidR="004E7FF2" w:rsidRDefault="004E7FF2">
            <w:pPr>
              <w:rPr>
                <w:sz w:val="20"/>
                <w:szCs w:val="20"/>
                <w:lang w:val="en-GB" w:eastAsia="ja-JP"/>
              </w:rPr>
            </w:pPr>
            <w:r>
              <w:rPr>
                <w:sz w:val="20"/>
                <w:szCs w:val="20"/>
                <w:lang w:val="en-GB" w:eastAsia="ja-JP"/>
              </w:rPr>
              <w:t>{0, 100}, {0, 50}, {0, 25}, {0, 1}</w:t>
            </w:r>
          </w:p>
        </w:tc>
        <w:tc>
          <w:tcPr>
            <w:tcW w:w="1559" w:type="dxa"/>
            <w:tcBorders>
              <w:top w:val="single" w:sz="4" w:space="0" w:color="auto"/>
              <w:left w:val="single" w:sz="4" w:space="0" w:color="auto"/>
              <w:bottom w:val="single" w:sz="4" w:space="0" w:color="auto"/>
              <w:right w:val="single" w:sz="4" w:space="0" w:color="auto"/>
            </w:tcBorders>
            <w:hideMark/>
          </w:tcPr>
          <w:p w14:paraId="60D57A03" w14:textId="77777777" w:rsidR="004E7FF2" w:rsidRDefault="004E7FF2">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78B6BF98" w14:textId="77777777" w:rsidR="004E7FF2" w:rsidRDefault="004E7FF2">
            <w:pPr>
              <w:rPr>
                <w:sz w:val="20"/>
                <w:szCs w:val="20"/>
                <w:lang w:val="en-GB" w:eastAsia="ja-JP"/>
              </w:rPr>
            </w:pPr>
            <w:r>
              <w:rPr>
                <w:sz w:val="20"/>
                <w:szCs w:val="20"/>
                <w:lang w:val="en-GB" w:eastAsia="ja-JP"/>
              </w:rPr>
              <w:t>ALL PASS</w:t>
            </w:r>
          </w:p>
        </w:tc>
      </w:tr>
      <w:tr w:rsidR="004E7FF2" w14:paraId="1995B381" w14:textId="77777777" w:rsidTr="004E7FF2">
        <w:tc>
          <w:tcPr>
            <w:tcW w:w="2830" w:type="dxa"/>
            <w:tcBorders>
              <w:top w:val="single" w:sz="4" w:space="0" w:color="auto"/>
              <w:left w:val="single" w:sz="4" w:space="0" w:color="auto"/>
              <w:bottom w:val="single" w:sz="4" w:space="0" w:color="auto"/>
              <w:right w:val="single" w:sz="4" w:space="0" w:color="auto"/>
            </w:tcBorders>
            <w:hideMark/>
          </w:tcPr>
          <w:p w14:paraId="7A0B6437" w14:textId="77777777" w:rsidR="004E7FF2" w:rsidRDefault="004E7FF2">
            <w:pPr>
              <w:rPr>
                <w:sz w:val="20"/>
                <w:szCs w:val="20"/>
                <w:lang w:val="en-GB" w:eastAsia="ja-JP"/>
              </w:rPr>
            </w:pPr>
            <w:r>
              <w:rPr>
                <w:sz w:val="20"/>
                <w:szCs w:val="20"/>
                <w:lang w:val="en-GB" w:eastAsia="ja-JP"/>
              </w:rPr>
              <w:t>CP-OFDM, QPSK, 21.5dBm</w:t>
            </w:r>
          </w:p>
        </w:tc>
        <w:tc>
          <w:tcPr>
            <w:tcW w:w="3686" w:type="dxa"/>
            <w:tcBorders>
              <w:top w:val="single" w:sz="4" w:space="0" w:color="auto"/>
              <w:left w:val="single" w:sz="4" w:space="0" w:color="auto"/>
              <w:bottom w:val="single" w:sz="4" w:space="0" w:color="auto"/>
              <w:right w:val="single" w:sz="4" w:space="0" w:color="auto"/>
            </w:tcBorders>
            <w:hideMark/>
          </w:tcPr>
          <w:p w14:paraId="22109E66" w14:textId="77777777" w:rsidR="004E7FF2" w:rsidRDefault="004E7FF2">
            <w:pPr>
              <w:rPr>
                <w:sz w:val="20"/>
                <w:szCs w:val="20"/>
                <w:lang w:val="en-GB" w:eastAsia="ja-JP"/>
              </w:rPr>
            </w:pPr>
            <w:r>
              <w:rPr>
                <w:sz w:val="20"/>
                <w:szCs w:val="20"/>
                <w:lang w:val="en-GB" w:eastAsia="ja-JP"/>
              </w:rPr>
              <w:t>{0, 106}, {0, 50}, {0, 25}, {0, 1}</w:t>
            </w:r>
          </w:p>
        </w:tc>
        <w:tc>
          <w:tcPr>
            <w:tcW w:w="1559" w:type="dxa"/>
            <w:tcBorders>
              <w:top w:val="single" w:sz="4" w:space="0" w:color="auto"/>
              <w:left w:val="single" w:sz="4" w:space="0" w:color="auto"/>
              <w:bottom w:val="single" w:sz="4" w:space="0" w:color="auto"/>
              <w:right w:val="single" w:sz="4" w:space="0" w:color="auto"/>
            </w:tcBorders>
            <w:hideMark/>
          </w:tcPr>
          <w:p w14:paraId="729971D0" w14:textId="77777777" w:rsidR="004E7FF2" w:rsidRDefault="004E7FF2">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03B032B3" w14:textId="77777777" w:rsidR="004E7FF2" w:rsidRDefault="004E7FF2">
            <w:pPr>
              <w:rPr>
                <w:sz w:val="20"/>
                <w:szCs w:val="20"/>
                <w:lang w:val="en-GB" w:eastAsia="ja-JP"/>
              </w:rPr>
            </w:pPr>
            <w:r>
              <w:rPr>
                <w:sz w:val="20"/>
                <w:szCs w:val="20"/>
                <w:lang w:val="en-GB" w:eastAsia="ja-JP"/>
              </w:rPr>
              <w:t>ALL PASS</w:t>
            </w:r>
          </w:p>
        </w:tc>
      </w:tr>
      <w:tr w:rsidR="004E7FF2" w14:paraId="03378CB1" w14:textId="77777777" w:rsidTr="004E7FF2">
        <w:tc>
          <w:tcPr>
            <w:tcW w:w="2830" w:type="dxa"/>
            <w:tcBorders>
              <w:top w:val="single" w:sz="4" w:space="0" w:color="auto"/>
              <w:left w:val="single" w:sz="4" w:space="0" w:color="auto"/>
              <w:bottom w:val="single" w:sz="4" w:space="0" w:color="auto"/>
              <w:right w:val="single" w:sz="4" w:space="0" w:color="auto"/>
            </w:tcBorders>
            <w:hideMark/>
          </w:tcPr>
          <w:p w14:paraId="1F14115D" w14:textId="77777777" w:rsidR="004E7FF2" w:rsidRDefault="004E7FF2">
            <w:pPr>
              <w:rPr>
                <w:sz w:val="20"/>
                <w:szCs w:val="20"/>
                <w:lang w:val="en-GB" w:eastAsia="ja-JP"/>
              </w:rPr>
            </w:pPr>
            <w:r>
              <w:rPr>
                <w:sz w:val="20"/>
                <w:szCs w:val="20"/>
                <w:lang w:val="en-GB" w:eastAsia="ja-JP"/>
              </w:rPr>
              <w:t>DFT-s-OFDM, 16QAM, 22dBm</w:t>
            </w:r>
          </w:p>
        </w:tc>
        <w:tc>
          <w:tcPr>
            <w:tcW w:w="3686" w:type="dxa"/>
            <w:tcBorders>
              <w:top w:val="single" w:sz="4" w:space="0" w:color="auto"/>
              <w:left w:val="single" w:sz="4" w:space="0" w:color="auto"/>
              <w:bottom w:val="single" w:sz="4" w:space="0" w:color="auto"/>
              <w:right w:val="single" w:sz="4" w:space="0" w:color="auto"/>
            </w:tcBorders>
            <w:hideMark/>
          </w:tcPr>
          <w:p w14:paraId="5FEAEAC9" w14:textId="77777777" w:rsidR="004E7FF2" w:rsidRDefault="004E7FF2">
            <w:pPr>
              <w:rPr>
                <w:sz w:val="20"/>
                <w:szCs w:val="20"/>
                <w:lang w:val="en-GB" w:eastAsia="ja-JP"/>
              </w:rPr>
            </w:pPr>
            <w:r>
              <w:rPr>
                <w:sz w:val="20"/>
                <w:szCs w:val="20"/>
                <w:lang w:val="en-GB" w:eastAsia="ja-JP"/>
              </w:rPr>
              <w:t>{0, 100}, {0, 50}, {0, 25}, {0, 1}</w:t>
            </w:r>
          </w:p>
        </w:tc>
        <w:tc>
          <w:tcPr>
            <w:tcW w:w="1559" w:type="dxa"/>
            <w:tcBorders>
              <w:top w:val="single" w:sz="4" w:space="0" w:color="auto"/>
              <w:left w:val="single" w:sz="4" w:space="0" w:color="auto"/>
              <w:bottom w:val="single" w:sz="4" w:space="0" w:color="auto"/>
              <w:right w:val="single" w:sz="4" w:space="0" w:color="auto"/>
            </w:tcBorders>
            <w:hideMark/>
          </w:tcPr>
          <w:p w14:paraId="523DFE3B" w14:textId="77777777" w:rsidR="004E7FF2" w:rsidRDefault="004E7FF2">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2F4EF5C7" w14:textId="77777777" w:rsidR="004E7FF2" w:rsidRDefault="004E7FF2">
            <w:pPr>
              <w:rPr>
                <w:sz w:val="20"/>
                <w:szCs w:val="20"/>
                <w:lang w:val="en-GB" w:eastAsia="ja-JP"/>
              </w:rPr>
            </w:pPr>
            <w:r>
              <w:rPr>
                <w:sz w:val="20"/>
                <w:szCs w:val="20"/>
                <w:lang w:val="en-GB" w:eastAsia="ja-JP"/>
              </w:rPr>
              <w:t>ALL PASS</w:t>
            </w:r>
          </w:p>
        </w:tc>
      </w:tr>
      <w:tr w:rsidR="004E7FF2" w14:paraId="45D8263D" w14:textId="77777777" w:rsidTr="004E7FF2">
        <w:tc>
          <w:tcPr>
            <w:tcW w:w="2830" w:type="dxa"/>
            <w:tcBorders>
              <w:top w:val="single" w:sz="4" w:space="0" w:color="auto"/>
              <w:left w:val="single" w:sz="4" w:space="0" w:color="auto"/>
              <w:bottom w:val="single" w:sz="4" w:space="0" w:color="auto"/>
              <w:right w:val="single" w:sz="4" w:space="0" w:color="auto"/>
            </w:tcBorders>
            <w:hideMark/>
          </w:tcPr>
          <w:p w14:paraId="051D1B07" w14:textId="77777777" w:rsidR="004E7FF2" w:rsidRDefault="004E7FF2">
            <w:pPr>
              <w:rPr>
                <w:sz w:val="20"/>
                <w:szCs w:val="20"/>
                <w:lang w:val="en-GB" w:eastAsia="ja-JP"/>
              </w:rPr>
            </w:pPr>
            <w:r>
              <w:rPr>
                <w:sz w:val="20"/>
                <w:szCs w:val="20"/>
                <w:lang w:val="en-GB" w:eastAsia="ja-JP"/>
              </w:rPr>
              <w:lastRenderedPageBreak/>
              <w:t>CP-OFDM, 16QAM, 21dBm</w:t>
            </w:r>
          </w:p>
        </w:tc>
        <w:tc>
          <w:tcPr>
            <w:tcW w:w="3686" w:type="dxa"/>
            <w:tcBorders>
              <w:top w:val="single" w:sz="4" w:space="0" w:color="auto"/>
              <w:left w:val="single" w:sz="4" w:space="0" w:color="auto"/>
              <w:bottom w:val="single" w:sz="4" w:space="0" w:color="auto"/>
              <w:right w:val="single" w:sz="4" w:space="0" w:color="auto"/>
            </w:tcBorders>
            <w:hideMark/>
          </w:tcPr>
          <w:p w14:paraId="48A27BEA" w14:textId="77777777" w:rsidR="004E7FF2" w:rsidRDefault="004E7FF2">
            <w:pPr>
              <w:rPr>
                <w:sz w:val="20"/>
                <w:szCs w:val="20"/>
                <w:lang w:val="en-GB" w:eastAsia="ja-JP"/>
              </w:rPr>
            </w:pPr>
            <w:r>
              <w:rPr>
                <w:sz w:val="20"/>
                <w:szCs w:val="20"/>
                <w:lang w:val="en-GB" w:eastAsia="ja-JP"/>
              </w:rPr>
              <w:t>{0, 106}, {0, 50}, {0, 25}, {0, 1}</w:t>
            </w:r>
          </w:p>
        </w:tc>
        <w:tc>
          <w:tcPr>
            <w:tcW w:w="1559" w:type="dxa"/>
            <w:tcBorders>
              <w:top w:val="single" w:sz="4" w:space="0" w:color="auto"/>
              <w:left w:val="single" w:sz="4" w:space="0" w:color="auto"/>
              <w:bottom w:val="single" w:sz="4" w:space="0" w:color="auto"/>
              <w:right w:val="single" w:sz="4" w:space="0" w:color="auto"/>
            </w:tcBorders>
            <w:hideMark/>
          </w:tcPr>
          <w:p w14:paraId="1C789C76" w14:textId="77777777" w:rsidR="004E7FF2" w:rsidRDefault="004E7FF2">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5A172AF7" w14:textId="77777777" w:rsidR="004E7FF2" w:rsidRDefault="004E7FF2">
            <w:pPr>
              <w:rPr>
                <w:sz w:val="20"/>
                <w:szCs w:val="20"/>
                <w:lang w:val="en-GB" w:eastAsia="ja-JP"/>
              </w:rPr>
            </w:pPr>
            <w:r>
              <w:rPr>
                <w:sz w:val="20"/>
                <w:szCs w:val="20"/>
                <w:lang w:val="en-GB" w:eastAsia="ja-JP"/>
              </w:rPr>
              <w:t>ALL PASS</w:t>
            </w:r>
          </w:p>
        </w:tc>
      </w:tr>
    </w:tbl>
    <w:p w14:paraId="103FCA34" w14:textId="77777777" w:rsidR="004E7FF2" w:rsidRDefault="004E7FF2" w:rsidP="004E7FF2">
      <w:pPr>
        <w:rPr>
          <w:lang w:val="en-GB" w:eastAsia="de-DE"/>
        </w:rPr>
      </w:pPr>
    </w:p>
    <w:p w14:paraId="7A3CF0C6" w14:textId="7CB65B9A" w:rsidR="004E7FF2" w:rsidRDefault="004E7FF2" w:rsidP="004E7FF2">
      <w:pPr>
        <w:jc w:val="center"/>
        <w:rPr>
          <w:b/>
          <w:bCs/>
          <w:sz w:val="20"/>
          <w:szCs w:val="20"/>
          <w:lang w:val="en-GB" w:eastAsia="de-DE"/>
        </w:rPr>
      </w:pPr>
      <w:r>
        <w:rPr>
          <w:b/>
          <w:bCs/>
          <w:sz w:val="20"/>
          <w:szCs w:val="20"/>
          <w:lang w:val="en-GB" w:eastAsia="de-DE"/>
        </w:rPr>
        <w:t>Table 1b: Evaluation results for Asymmetrical shifted OOBE (20MHz CBW with 0.5* shift right side)</w:t>
      </w:r>
    </w:p>
    <w:tbl>
      <w:tblPr>
        <w:tblStyle w:val="a7"/>
        <w:tblW w:w="0" w:type="auto"/>
        <w:tblLook w:val="04A0" w:firstRow="1" w:lastRow="0" w:firstColumn="1" w:lastColumn="0" w:noHBand="0" w:noVBand="1"/>
      </w:tblPr>
      <w:tblGrid>
        <w:gridCol w:w="2811"/>
        <w:gridCol w:w="3705"/>
        <w:gridCol w:w="1559"/>
        <w:gridCol w:w="1418"/>
      </w:tblGrid>
      <w:tr w:rsidR="004E7FF2" w14:paraId="0D2840D2" w14:textId="77777777" w:rsidTr="004E7FF2">
        <w:tc>
          <w:tcPr>
            <w:tcW w:w="2811" w:type="dxa"/>
            <w:tcBorders>
              <w:top w:val="single" w:sz="4" w:space="0" w:color="auto"/>
              <w:left w:val="single" w:sz="4" w:space="0" w:color="auto"/>
              <w:bottom w:val="single" w:sz="4" w:space="0" w:color="auto"/>
              <w:right w:val="single" w:sz="4" w:space="0" w:color="auto"/>
            </w:tcBorders>
            <w:hideMark/>
          </w:tcPr>
          <w:p w14:paraId="0EEDCB80" w14:textId="77777777" w:rsidR="004E7FF2" w:rsidRDefault="004E7FF2">
            <w:pPr>
              <w:rPr>
                <w:b/>
                <w:bCs/>
                <w:sz w:val="20"/>
                <w:szCs w:val="20"/>
                <w:lang w:val="en-GB" w:eastAsia="ja-JP"/>
              </w:rPr>
            </w:pPr>
            <w:r>
              <w:rPr>
                <w:b/>
                <w:bCs/>
                <w:sz w:val="20"/>
                <w:szCs w:val="20"/>
                <w:lang w:val="en-GB" w:eastAsia="ja-JP"/>
              </w:rPr>
              <w:t>Waveform, Mod, Tx power</w:t>
            </w:r>
          </w:p>
        </w:tc>
        <w:tc>
          <w:tcPr>
            <w:tcW w:w="3705" w:type="dxa"/>
            <w:tcBorders>
              <w:top w:val="single" w:sz="4" w:space="0" w:color="auto"/>
              <w:left w:val="single" w:sz="4" w:space="0" w:color="auto"/>
              <w:bottom w:val="single" w:sz="4" w:space="0" w:color="auto"/>
              <w:right w:val="single" w:sz="4" w:space="0" w:color="auto"/>
            </w:tcBorders>
            <w:hideMark/>
          </w:tcPr>
          <w:p w14:paraId="53A4B2CF" w14:textId="77777777" w:rsidR="004E7FF2" w:rsidRDefault="004E7FF2">
            <w:pPr>
              <w:rPr>
                <w:b/>
                <w:bCs/>
                <w:sz w:val="20"/>
                <w:szCs w:val="20"/>
                <w:lang w:val="en-GB" w:eastAsia="ja-JP"/>
              </w:rPr>
            </w:pPr>
            <w:r>
              <w:rPr>
                <w:b/>
                <w:bCs/>
                <w:sz w:val="20"/>
                <w:szCs w:val="20"/>
                <w:lang w:val="en-GB" w:eastAsia="ja-JP"/>
              </w:rPr>
              <w:t>RB allocation (RB</w:t>
            </w:r>
            <w:r>
              <w:rPr>
                <w:b/>
                <w:bCs/>
                <w:sz w:val="20"/>
                <w:szCs w:val="20"/>
                <w:vertAlign w:val="subscript"/>
                <w:lang w:val="en-GB" w:eastAsia="ja-JP"/>
              </w:rPr>
              <w:t>start</w:t>
            </w:r>
            <w:r>
              <w:rPr>
                <w:b/>
                <w:bCs/>
                <w:sz w:val="20"/>
                <w:szCs w:val="20"/>
                <w:lang w:val="en-GB" w:eastAsia="ja-JP"/>
              </w:rPr>
              <w:t>, L</w:t>
            </w:r>
            <w:r>
              <w:rPr>
                <w:b/>
                <w:bCs/>
                <w:sz w:val="20"/>
                <w:szCs w:val="20"/>
                <w:vertAlign w:val="subscript"/>
                <w:lang w:val="en-GB" w:eastAsia="ja-JP"/>
              </w:rPr>
              <w:t>CRB</w:t>
            </w:r>
            <w:r>
              <w:rPr>
                <w:b/>
                <w:bCs/>
                <w:sz w:val="20"/>
                <w:szCs w:val="20"/>
                <w:lang w:val="en-GB"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706C89B6" w14:textId="77777777" w:rsidR="004E7FF2" w:rsidRDefault="004E7FF2">
            <w:pPr>
              <w:rPr>
                <w:b/>
                <w:bCs/>
                <w:sz w:val="20"/>
                <w:szCs w:val="20"/>
                <w:lang w:val="en-GB" w:eastAsia="ja-JP"/>
              </w:rPr>
            </w:pPr>
            <w:r>
              <w:rPr>
                <w:b/>
                <w:bCs/>
                <w:sz w:val="20"/>
                <w:szCs w:val="20"/>
                <w:lang w:val="en-GB" w:eastAsia="ja-JP"/>
              </w:rPr>
              <w:t>ACLR Pass/fail</w:t>
            </w:r>
          </w:p>
        </w:tc>
        <w:tc>
          <w:tcPr>
            <w:tcW w:w="1418" w:type="dxa"/>
            <w:tcBorders>
              <w:top w:val="single" w:sz="4" w:space="0" w:color="auto"/>
              <w:left w:val="single" w:sz="4" w:space="0" w:color="auto"/>
              <w:bottom w:val="single" w:sz="4" w:space="0" w:color="auto"/>
              <w:right w:val="single" w:sz="4" w:space="0" w:color="auto"/>
            </w:tcBorders>
            <w:hideMark/>
          </w:tcPr>
          <w:p w14:paraId="0EEBF525" w14:textId="77777777" w:rsidR="004E7FF2" w:rsidRDefault="004E7FF2">
            <w:pPr>
              <w:rPr>
                <w:b/>
                <w:bCs/>
                <w:sz w:val="20"/>
                <w:szCs w:val="20"/>
                <w:lang w:val="en-GB" w:eastAsia="ja-JP"/>
              </w:rPr>
            </w:pPr>
            <w:r>
              <w:rPr>
                <w:b/>
                <w:bCs/>
                <w:sz w:val="20"/>
                <w:szCs w:val="20"/>
                <w:lang w:val="en-GB" w:eastAsia="ja-JP"/>
              </w:rPr>
              <w:t>SEM Pass/fail</w:t>
            </w:r>
          </w:p>
        </w:tc>
      </w:tr>
      <w:tr w:rsidR="004E7FF2" w14:paraId="1C14D871" w14:textId="77777777" w:rsidTr="004E7FF2">
        <w:trPr>
          <w:trHeight w:val="446"/>
        </w:trPr>
        <w:tc>
          <w:tcPr>
            <w:tcW w:w="2811" w:type="dxa"/>
            <w:tcBorders>
              <w:top w:val="single" w:sz="4" w:space="0" w:color="auto"/>
              <w:left w:val="single" w:sz="4" w:space="0" w:color="auto"/>
              <w:bottom w:val="single" w:sz="4" w:space="0" w:color="auto"/>
              <w:right w:val="single" w:sz="4" w:space="0" w:color="auto"/>
            </w:tcBorders>
            <w:hideMark/>
          </w:tcPr>
          <w:p w14:paraId="5C4B6A7D" w14:textId="77777777" w:rsidR="004E7FF2" w:rsidRDefault="004E7FF2">
            <w:pPr>
              <w:rPr>
                <w:sz w:val="20"/>
                <w:szCs w:val="20"/>
                <w:lang w:val="en-GB" w:eastAsia="ja-JP"/>
              </w:rPr>
            </w:pPr>
            <w:r>
              <w:rPr>
                <w:sz w:val="20"/>
                <w:szCs w:val="20"/>
                <w:lang w:val="en-GB" w:eastAsia="ja-JP"/>
              </w:rPr>
              <w:t>DFT-s-OFDM, QPSK, 23dBm</w:t>
            </w:r>
          </w:p>
        </w:tc>
        <w:tc>
          <w:tcPr>
            <w:tcW w:w="3705" w:type="dxa"/>
            <w:tcBorders>
              <w:top w:val="single" w:sz="4" w:space="0" w:color="auto"/>
              <w:left w:val="single" w:sz="4" w:space="0" w:color="auto"/>
              <w:bottom w:val="single" w:sz="4" w:space="0" w:color="auto"/>
              <w:right w:val="single" w:sz="4" w:space="0" w:color="auto"/>
            </w:tcBorders>
            <w:hideMark/>
          </w:tcPr>
          <w:p w14:paraId="54413213" w14:textId="77777777" w:rsidR="004E7FF2" w:rsidRDefault="004E7FF2">
            <w:pPr>
              <w:rPr>
                <w:sz w:val="20"/>
                <w:szCs w:val="20"/>
                <w:lang w:val="en-GB" w:eastAsia="ja-JP"/>
              </w:rPr>
            </w:pPr>
            <w:r>
              <w:rPr>
                <w:sz w:val="20"/>
                <w:szCs w:val="20"/>
                <w:lang w:val="en-GB" w:eastAsia="ja-JP"/>
              </w:rPr>
              <w:t>{50, 25}, {105, 1}</w:t>
            </w:r>
          </w:p>
        </w:tc>
        <w:tc>
          <w:tcPr>
            <w:tcW w:w="1559" w:type="dxa"/>
            <w:tcBorders>
              <w:top w:val="single" w:sz="4" w:space="0" w:color="auto"/>
              <w:left w:val="single" w:sz="4" w:space="0" w:color="auto"/>
              <w:bottom w:val="single" w:sz="4" w:space="0" w:color="auto"/>
              <w:right w:val="single" w:sz="4" w:space="0" w:color="auto"/>
            </w:tcBorders>
            <w:hideMark/>
          </w:tcPr>
          <w:p w14:paraId="642AD59F" w14:textId="77777777" w:rsidR="004E7FF2" w:rsidRDefault="004E7FF2">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5A5222FB" w14:textId="77777777" w:rsidR="004E7FF2" w:rsidRDefault="004E7FF2">
            <w:pPr>
              <w:rPr>
                <w:sz w:val="20"/>
                <w:szCs w:val="20"/>
                <w:lang w:val="en-GB" w:eastAsia="ja-JP"/>
              </w:rPr>
            </w:pPr>
            <w:r>
              <w:rPr>
                <w:sz w:val="20"/>
                <w:szCs w:val="20"/>
                <w:lang w:val="en-GB" w:eastAsia="ja-JP"/>
              </w:rPr>
              <w:t>ALL PASS</w:t>
            </w:r>
          </w:p>
        </w:tc>
      </w:tr>
      <w:tr w:rsidR="004E7FF2" w14:paraId="3DC49F3E" w14:textId="77777777" w:rsidTr="004E7FF2">
        <w:tc>
          <w:tcPr>
            <w:tcW w:w="2811" w:type="dxa"/>
            <w:tcBorders>
              <w:top w:val="single" w:sz="4" w:space="0" w:color="auto"/>
              <w:left w:val="single" w:sz="4" w:space="0" w:color="auto"/>
              <w:bottom w:val="single" w:sz="4" w:space="0" w:color="auto"/>
              <w:right w:val="single" w:sz="4" w:space="0" w:color="auto"/>
            </w:tcBorders>
            <w:hideMark/>
          </w:tcPr>
          <w:p w14:paraId="66C0380C" w14:textId="77777777" w:rsidR="004E7FF2" w:rsidRDefault="004E7FF2">
            <w:pPr>
              <w:rPr>
                <w:sz w:val="20"/>
                <w:szCs w:val="20"/>
                <w:lang w:val="en-GB" w:eastAsia="ja-JP"/>
              </w:rPr>
            </w:pPr>
            <w:r>
              <w:rPr>
                <w:sz w:val="20"/>
                <w:szCs w:val="20"/>
                <w:lang w:val="en-GB" w:eastAsia="ja-JP"/>
              </w:rPr>
              <w:t>CP-OFDM, QPSK, 21.5dBm</w:t>
            </w:r>
          </w:p>
        </w:tc>
        <w:tc>
          <w:tcPr>
            <w:tcW w:w="3705" w:type="dxa"/>
            <w:tcBorders>
              <w:top w:val="single" w:sz="4" w:space="0" w:color="auto"/>
              <w:left w:val="single" w:sz="4" w:space="0" w:color="auto"/>
              <w:bottom w:val="single" w:sz="4" w:space="0" w:color="auto"/>
              <w:right w:val="single" w:sz="4" w:space="0" w:color="auto"/>
            </w:tcBorders>
            <w:hideMark/>
          </w:tcPr>
          <w:p w14:paraId="77330BC2" w14:textId="77777777" w:rsidR="004E7FF2" w:rsidRDefault="004E7FF2">
            <w:pPr>
              <w:rPr>
                <w:sz w:val="20"/>
                <w:szCs w:val="20"/>
                <w:lang w:val="en-GB" w:eastAsia="ja-JP"/>
              </w:rPr>
            </w:pPr>
            <w:r>
              <w:rPr>
                <w:sz w:val="20"/>
                <w:szCs w:val="20"/>
                <w:lang w:val="en-GB" w:eastAsia="ja-JP"/>
              </w:rPr>
              <w:t>{35, 70}, {105, 1}</w:t>
            </w:r>
          </w:p>
        </w:tc>
        <w:tc>
          <w:tcPr>
            <w:tcW w:w="1559" w:type="dxa"/>
            <w:tcBorders>
              <w:top w:val="single" w:sz="4" w:space="0" w:color="auto"/>
              <w:left w:val="single" w:sz="4" w:space="0" w:color="auto"/>
              <w:bottom w:val="single" w:sz="4" w:space="0" w:color="auto"/>
              <w:right w:val="single" w:sz="4" w:space="0" w:color="auto"/>
            </w:tcBorders>
            <w:hideMark/>
          </w:tcPr>
          <w:p w14:paraId="7C5704CA" w14:textId="77777777" w:rsidR="004E7FF2" w:rsidRDefault="004E7FF2">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315FA834" w14:textId="77777777" w:rsidR="004E7FF2" w:rsidRDefault="004E7FF2">
            <w:pPr>
              <w:rPr>
                <w:sz w:val="20"/>
                <w:szCs w:val="20"/>
                <w:lang w:val="en-GB" w:eastAsia="ja-JP"/>
              </w:rPr>
            </w:pPr>
            <w:r>
              <w:rPr>
                <w:sz w:val="20"/>
                <w:szCs w:val="20"/>
                <w:lang w:val="en-GB" w:eastAsia="ja-JP"/>
              </w:rPr>
              <w:t>ALL PASS</w:t>
            </w:r>
          </w:p>
        </w:tc>
      </w:tr>
      <w:tr w:rsidR="004E7FF2" w14:paraId="757C26F7" w14:textId="77777777" w:rsidTr="004E7FF2">
        <w:trPr>
          <w:trHeight w:val="446"/>
        </w:trPr>
        <w:tc>
          <w:tcPr>
            <w:tcW w:w="2811" w:type="dxa"/>
            <w:tcBorders>
              <w:top w:val="single" w:sz="4" w:space="0" w:color="auto"/>
              <w:left w:val="single" w:sz="4" w:space="0" w:color="auto"/>
              <w:bottom w:val="single" w:sz="4" w:space="0" w:color="auto"/>
              <w:right w:val="single" w:sz="4" w:space="0" w:color="auto"/>
            </w:tcBorders>
            <w:hideMark/>
          </w:tcPr>
          <w:p w14:paraId="3B1DEAE2" w14:textId="77777777" w:rsidR="004E7FF2" w:rsidRDefault="004E7FF2">
            <w:pPr>
              <w:rPr>
                <w:sz w:val="20"/>
                <w:szCs w:val="20"/>
                <w:lang w:val="en-GB" w:eastAsia="ja-JP"/>
              </w:rPr>
            </w:pPr>
            <w:r>
              <w:rPr>
                <w:sz w:val="20"/>
                <w:szCs w:val="20"/>
                <w:lang w:val="en-GB" w:eastAsia="ja-JP"/>
              </w:rPr>
              <w:t>DFT-s-OFDM, 16QAM, 22dBm</w:t>
            </w:r>
          </w:p>
        </w:tc>
        <w:tc>
          <w:tcPr>
            <w:tcW w:w="3705" w:type="dxa"/>
            <w:tcBorders>
              <w:top w:val="single" w:sz="4" w:space="0" w:color="auto"/>
              <w:left w:val="single" w:sz="4" w:space="0" w:color="auto"/>
              <w:bottom w:val="single" w:sz="4" w:space="0" w:color="auto"/>
              <w:right w:val="single" w:sz="4" w:space="0" w:color="auto"/>
            </w:tcBorders>
            <w:hideMark/>
          </w:tcPr>
          <w:p w14:paraId="05C8C662" w14:textId="77777777" w:rsidR="004E7FF2" w:rsidRDefault="004E7FF2">
            <w:pPr>
              <w:rPr>
                <w:sz w:val="20"/>
                <w:szCs w:val="20"/>
                <w:lang w:val="en-GB" w:eastAsia="ja-JP"/>
              </w:rPr>
            </w:pPr>
            <w:r>
              <w:rPr>
                <w:sz w:val="20"/>
                <w:szCs w:val="20"/>
                <w:lang w:val="en-GB" w:eastAsia="ja-JP"/>
              </w:rPr>
              <w:t>{50, 25}, {105, 1}</w:t>
            </w:r>
          </w:p>
        </w:tc>
        <w:tc>
          <w:tcPr>
            <w:tcW w:w="1559" w:type="dxa"/>
            <w:tcBorders>
              <w:top w:val="single" w:sz="4" w:space="0" w:color="auto"/>
              <w:left w:val="single" w:sz="4" w:space="0" w:color="auto"/>
              <w:bottom w:val="single" w:sz="4" w:space="0" w:color="auto"/>
              <w:right w:val="single" w:sz="4" w:space="0" w:color="auto"/>
            </w:tcBorders>
            <w:hideMark/>
          </w:tcPr>
          <w:p w14:paraId="026F4EC2" w14:textId="77777777" w:rsidR="004E7FF2" w:rsidRDefault="004E7FF2">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032D21F3" w14:textId="77777777" w:rsidR="004E7FF2" w:rsidRDefault="004E7FF2">
            <w:pPr>
              <w:rPr>
                <w:sz w:val="20"/>
                <w:szCs w:val="20"/>
                <w:lang w:val="en-GB" w:eastAsia="ja-JP"/>
              </w:rPr>
            </w:pPr>
            <w:r>
              <w:rPr>
                <w:sz w:val="20"/>
                <w:szCs w:val="20"/>
                <w:lang w:val="en-GB" w:eastAsia="ja-JP"/>
              </w:rPr>
              <w:t>ALL PASS</w:t>
            </w:r>
          </w:p>
        </w:tc>
      </w:tr>
      <w:tr w:rsidR="004E7FF2" w14:paraId="1EA3999F" w14:textId="77777777" w:rsidTr="004E7FF2">
        <w:tc>
          <w:tcPr>
            <w:tcW w:w="2811" w:type="dxa"/>
            <w:tcBorders>
              <w:top w:val="single" w:sz="4" w:space="0" w:color="auto"/>
              <w:left w:val="single" w:sz="4" w:space="0" w:color="auto"/>
              <w:bottom w:val="single" w:sz="4" w:space="0" w:color="auto"/>
              <w:right w:val="single" w:sz="4" w:space="0" w:color="auto"/>
            </w:tcBorders>
            <w:hideMark/>
          </w:tcPr>
          <w:p w14:paraId="36EFD1B4" w14:textId="77777777" w:rsidR="004E7FF2" w:rsidRDefault="004E7FF2">
            <w:pPr>
              <w:rPr>
                <w:sz w:val="20"/>
                <w:szCs w:val="20"/>
                <w:lang w:val="en-GB" w:eastAsia="ja-JP"/>
              </w:rPr>
            </w:pPr>
            <w:r>
              <w:rPr>
                <w:sz w:val="20"/>
                <w:szCs w:val="20"/>
                <w:lang w:val="en-GB" w:eastAsia="ja-JP"/>
              </w:rPr>
              <w:t>CP-OFDM, 16QAM, 21dBm</w:t>
            </w:r>
          </w:p>
        </w:tc>
        <w:tc>
          <w:tcPr>
            <w:tcW w:w="3705" w:type="dxa"/>
            <w:tcBorders>
              <w:top w:val="single" w:sz="4" w:space="0" w:color="auto"/>
              <w:left w:val="single" w:sz="4" w:space="0" w:color="auto"/>
              <w:bottom w:val="single" w:sz="4" w:space="0" w:color="auto"/>
              <w:right w:val="single" w:sz="4" w:space="0" w:color="auto"/>
            </w:tcBorders>
            <w:hideMark/>
          </w:tcPr>
          <w:p w14:paraId="294CC208" w14:textId="77777777" w:rsidR="004E7FF2" w:rsidRDefault="004E7FF2">
            <w:pPr>
              <w:rPr>
                <w:sz w:val="20"/>
                <w:szCs w:val="20"/>
                <w:lang w:val="en-GB" w:eastAsia="ja-JP"/>
              </w:rPr>
            </w:pPr>
            <w:r>
              <w:rPr>
                <w:sz w:val="20"/>
                <w:szCs w:val="20"/>
                <w:lang w:val="en-GB" w:eastAsia="ja-JP"/>
              </w:rPr>
              <w:t>{35, 70}, {105, 1}</w:t>
            </w:r>
          </w:p>
        </w:tc>
        <w:tc>
          <w:tcPr>
            <w:tcW w:w="1559" w:type="dxa"/>
            <w:tcBorders>
              <w:top w:val="single" w:sz="4" w:space="0" w:color="auto"/>
              <w:left w:val="single" w:sz="4" w:space="0" w:color="auto"/>
              <w:bottom w:val="single" w:sz="4" w:space="0" w:color="auto"/>
              <w:right w:val="single" w:sz="4" w:space="0" w:color="auto"/>
            </w:tcBorders>
            <w:hideMark/>
          </w:tcPr>
          <w:p w14:paraId="00BC6601" w14:textId="77777777" w:rsidR="004E7FF2" w:rsidRDefault="004E7FF2">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56A1F793" w14:textId="77777777" w:rsidR="004E7FF2" w:rsidRDefault="004E7FF2">
            <w:pPr>
              <w:rPr>
                <w:sz w:val="20"/>
                <w:szCs w:val="20"/>
                <w:lang w:val="en-GB" w:eastAsia="ja-JP"/>
              </w:rPr>
            </w:pPr>
            <w:r>
              <w:rPr>
                <w:sz w:val="20"/>
                <w:szCs w:val="20"/>
                <w:lang w:val="en-GB" w:eastAsia="ja-JP"/>
              </w:rPr>
              <w:t>ALL PASS</w:t>
            </w:r>
          </w:p>
        </w:tc>
      </w:tr>
      <w:tr w:rsidR="004E7FF2" w14:paraId="61DAB422" w14:textId="77777777" w:rsidTr="004E7FF2">
        <w:tc>
          <w:tcPr>
            <w:tcW w:w="2811" w:type="dxa"/>
            <w:tcBorders>
              <w:top w:val="single" w:sz="4" w:space="0" w:color="auto"/>
              <w:left w:val="single" w:sz="4" w:space="0" w:color="auto"/>
              <w:bottom w:val="single" w:sz="4" w:space="0" w:color="auto"/>
              <w:right w:val="single" w:sz="4" w:space="0" w:color="auto"/>
            </w:tcBorders>
            <w:hideMark/>
          </w:tcPr>
          <w:p w14:paraId="05493831" w14:textId="77777777" w:rsidR="004E7FF2" w:rsidRDefault="004E7FF2">
            <w:pPr>
              <w:rPr>
                <w:sz w:val="20"/>
                <w:szCs w:val="20"/>
                <w:lang w:val="en-GB" w:eastAsia="ja-JP"/>
              </w:rPr>
            </w:pPr>
            <w:r>
              <w:rPr>
                <w:sz w:val="20"/>
                <w:szCs w:val="20"/>
                <w:lang w:val="en-GB" w:eastAsia="ja-JP"/>
              </w:rPr>
              <w:t>DFT-s-OFDM, QPSK, 23dBm</w:t>
            </w:r>
          </w:p>
        </w:tc>
        <w:tc>
          <w:tcPr>
            <w:tcW w:w="3705" w:type="dxa"/>
            <w:tcBorders>
              <w:top w:val="single" w:sz="4" w:space="0" w:color="auto"/>
              <w:left w:val="single" w:sz="4" w:space="0" w:color="auto"/>
              <w:bottom w:val="single" w:sz="4" w:space="0" w:color="auto"/>
              <w:right w:val="single" w:sz="4" w:space="0" w:color="auto"/>
            </w:tcBorders>
            <w:hideMark/>
          </w:tcPr>
          <w:p w14:paraId="64FD5197" w14:textId="77777777" w:rsidR="004E7FF2" w:rsidRDefault="004E7FF2">
            <w:pPr>
              <w:rPr>
                <w:sz w:val="20"/>
                <w:szCs w:val="20"/>
                <w:lang w:val="en-GB" w:eastAsia="ja-JP"/>
              </w:rPr>
            </w:pPr>
            <w:r>
              <w:rPr>
                <w:sz w:val="20"/>
                <w:szCs w:val="20"/>
                <w:lang w:val="en-GB" w:eastAsia="ja-JP"/>
              </w:rPr>
              <w:t>{91, 182}, {272, 1}</w:t>
            </w:r>
          </w:p>
        </w:tc>
        <w:tc>
          <w:tcPr>
            <w:tcW w:w="1559" w:type="dxa"/>
            <w:tcBorders>
              <w:top w:val="single" w:sz="4" w:space="0" w:color="auto"/>
              <w:left w:val="single" w:sz="4" w:space="0" w:color="auto"/>
              <w:bottom w:val="single" w:sz="4" w:space="0" w:color="auto"/>
              <w:right w:val="single" w:sz="4" w:space="0" w:color="auto"/>
            </w:tcBorders>
            <w:hideMark/>
          </w:tcPr>
          <w:p w14:paraId="65300AFC" w14:textId="77777777" w:rsidR="004E7FF2" w:rsidRDefault="004E7FF2">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7F224C6B" w14:textId="77777777" w:rsidR="004E7FF2" w:rsidRDefault="004E7FF2">
            <w:pPr>
              <w:rPr>
                <w:sz w:val="20"/>
                <w:szCs w:val="20"/>
                <w:lang w:val="en-GB" w:eastAsia="ja-JP"/>
              </w:rPr>
            </w:pPr>
            <w:r>
              <w:rPr>
                <w:sz w:val="20"/>
                <w:szCs w:val="20"/>
                <w:lang w:val="en-GB" w:eastAsia="ja-JP"/>
              </w:rPr>
              <w:t>ALL PASS</w:t>
            </w:r>
          </w:p>
        </w:tc>
      </w:tr>
      <w:tr w:rsidR="004E7FF2" w14:paraId="643543CA" w14:textId="77777777" w:rsidTr="004E7FF2">
        <w:tc>
          <w:tcPr>
            <w:tcW w:w="2811" w:type="dxa"/>
            <w:tcBorders>
              <w:top w:val="single" w:sz="4" w:space="0" w:color="auto"/>
              <w:left w:val="single" w:sz="4" w:space="0" w:color="auto"/>
              <w:bottom w:val="single" w:sz="4" w:space="0" w:color="auto"/>
              <w:right w:val="single" w:sz="4" w:space="0" w:color="auto"/>
            </w:tcBorders>
            <w:hideMark/>
          </w:tcPr>
          <w:p w14:paraId="1E3D6195" w14:textId="77777777" w:rsidR="004E7FF2" w:rsidRDefault="004E7FF2">
            <w:pPr>
              <w:rPr>
                <w:sz w:val="20"/>
                <w:szCs w:val="20"/>
                <w:lang w:val="en-GB" w:eastAsia="ja-JP"/>
              </w:rPr>
            </w:pPr>
            <w:r>
              <w:rPr>
                <w:sz w:val="20"/>
                <w:szCs w:val="20"/>
                <w:lang w:val="en-GB" w:eastAsia="ja-JP"/>
              </w:rPr>
              <w:t>DFT-s-OFDM, 16QAM, 22dBm</w:t>
            </w:r>
          </w:p>
        </w:tc>
        <w:tc>
          <w:tcPr>
            <w:tcW w:w="3705" w:type="dxa"/>
            <w:tcBorders>
              <w:top w:val="single" w:sz="4" w:space="0" w:color="auto"/>
              <w:left w:val="single" w:sz="4" w:space="0" w:color="auto"/>
              <w:bottom w:val="single" w:sz="4" w:space="0" w:color="auto"/>
              <w:right w:val="single" w:sz="4" w:space="0" w:color="auto"/>
            </w:tcBorders>
            <w:hideMark/>
          </w:tcPr>
          <w:p w14:paraId="33D553D1" w14:textId="77777777" w:rsidR="004E7FF2" w:rsidRDefault="004E7FF2">
            <w:pPr>
              <w:rPr>
                <w:sz w:val="20"/>
                <w:szCs w:val="20"/>
                <w:lang w:val="en-GB" w:eastAsia="ja-JP"/>
              </w:rPr>
            </w:pPr>
            <w:r>
              <w:rPr>
                <w:sz w:val="20"/>
                <w:szCs w:val="20"/>
                <w:lang w:val="en-GB" w:eastAsia="ja-JP"/>
              </w:rPr>
              <w:t>{50, 25}, {105, 1}</w:t>
            </w:r>
          </w:p>
        </w:tc>
        <w:tc>
          <w:tcPr>
            <w:tcW w:w="1559" w:type="dxa"/>
            <w:tcBorders>
              <w:top w:val="single" w:sz="4" w:space="0" w:color="auto"/>
              <w:left w:val="single" w:sz="4" w:space="0" w:color="auto"/>
              <w:bottom w:val="single" w:sz="4" w:space="0" w:color="auto"/>
              <w:right w:val="single" w:sz="4" w:space="0" w:color="auto"/>
            </w:tcBorders>
            <w:hideMark/>
          </w:tcPr>
          <w:p w14:paraId="19FD45BB" w14:textId="77777777" w:rsidR="004E7FF2" w:rsidRDefault="004E7FF2">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2468D161" w14:textId="77777777" w:rsidR="004E7FF2" w:rsidRDefault="004E7FF2">
            <w:pPr>
              <w:rPr>
                <w:sz w:val="20"/>
                <w:szCs w:val="20"/>
                <w:lang w:val="en-GB" w:eastAsia="ja-JP"/>
              </w:rPr>
            </w:pPr>
            <w:r>
              <w:rPr>
                <w:sz w:val="20"/>
                <w:szCs w:val="20"/>
                <w:lang w:val="en-GB" w:eastAsia="ja-JP"/>
              </w:rPr>
              <w:t>ALL PASS</w:t>
            </w:r>
          </w:p>
        </w:tc>
      </w:tr>
    </w:tbl>
    <w:p w14:paraId="6A767625" w14:textId="77777777" w:rsidR="004E7FF2" w:rsidRDefault="004E7FF2" w:rsidP="004E7FF2">
      <w:pPr>
        <w:jc w:val="both"/>
        <w:rPr>
          <w:rFonts w:eastAsiaTheme="minorEastAsia"/>
          <w:sz w:val="20"/>
          <w:szCs w:val="20"/>
        </w:rPr>
      </w:pPr>
    </w:p>
    <w:p w14:paraId="5D9F5A82" w14:textId="7AE52013" w:rsidR="004E7FF2" w:rsidRDefault="004E7FF2" w:rsidP="004E7FF2">
      <w:pPr>
        <w:jc w:val="center"/>
        <w:rPr>
          <w:b/>
          <w:bCs/>
          <w:sz w:val="20"/>
          <w:szCs w:val="20"/>
          <w:lang w:val="en-GB" w:eastAsia="de-DE"/>
        </w:rPr>
      </w:pPr>
      <w:r>
        <w:rPr>
          <w:b/>
          <w:bCs/>
          <w:sz w:val="20"/>
          <w:szCs w:val="20"/>
          <w:lang w:val="en-GB" w:eastAsia="de-DE"/>
        </w:rPr>
        <w:t>Table 1c: Evaluation results for Asymmetrical shifted OOBE (100MHz CBW with 0.5* shift right side)</w:t>
      </w:r>
    </w:p>
    <w:tbl>
      <w:tblPr>
        <w:tblStyle w:val="a7"/>
        <w:tblW w:w="0" w:type="auto"/>
        <w:tblLook w:val="04A0" w:firstRow="1" w:lastRow="0" w:firstColumn="1" w:lastColumn="0" w:noHBand="0" w:noVBand="1"/>
      </w:tblPr>
      <w:tblGrid>
        <w:gridCol w:w="2811"/>
        <w:gridCol w:w="3705"/>
        <w:gridCol w:w="1559"/>
        <w:gridCol w:w="1418"/>
      </w:tblGrid>
      <w:tr w:rsidR="004E7FF2" w14:paraId="2DFB23A9" w14:textId="77777777" w:rsidTr="004E7FF2">
        <w:tc>
          <w:tcPr>
            <w:tcW w:w="2811" w:type="dxa"/>
            <w:tcBorders>
              <w:top w:val="single" w:sz="4" w:space="0" w:color="auto"/>
              <w:left w:val="single" w:sz="4" w:space="0" w:color="auto"/>
              <w:bottom w:val="single" w:sz="4" w:space="0" w:color="auto"/>
              <w:right w:val="single" w:sz="4" w:space="0" w:color="auto"/>
            </w:tcBorders>
            <w:hideMark/>
          </w:tcPr>
          <w:p w14:paraId="45600ABD" w14:textId="77777777" w:rsidR="004E7FF2" w:rsidRDefault="004E7FF2">
            <w:pPr>
              <w:rPr>
                <w:b/>
                <w:bCs/>
                <w:sz w:val="20"/>
                <w:szCs w:val="20"/>
                <w:lang w:val="en-GB" w:eastAsia="ja-JP"/>
              </w:rPr>
            </w:pPr>
            <w:r>
              <w:rPr>
                <w:b/>
                <w:bCs/>
                <w:sz w:val="20"/>
                <w:szCs w:val="20"/>
                <w:lang w:val="en-GB" w:eastAsia="ja-JP"/>
              </w:rPr>
              <w:t>Waveform, Mod, Tx power</w:t>
            </w:r>
          </w:p>
        </w:tc>
        <w:tc>
          <w:tcPr>
            <w:tcW w:w="3705" w:type="dxa"/>
            <w:tcBorders>
              <w:top w:val="single" w:sz="4" w:space="0" w:color="auto"/>
              <w:left w:val="single" w:sz="4" w:space="0" w:color="auto"/>
              <w:bottom w:val="single" w:sz="4" w:space="0" w:color="auto"/>
              <w:right w:val="single" w:sz="4" w:space="0" w:color="auto"/>
            </w:tcBorders>
            <w:hideMark/>
          </w:tcPr>
          <w:p w14:paraId="1088C284" w14:textId="77777777" w:rsidR="004E7FF2" w:rsidRDefault="004E7FF2">
            <w:pPr>
              <w:rPr>
                <w:b/>
                <w:bCs/>
                <w:sz w:val="20"/>
                <w:szCs w:val="20"/>
                <w:lang w:val="en-GB" w:eastAsia="ja-JP"/>
              </w:rPr>
            </w:pPr>
            <w:r>
              <w:rPr>
                <w:b/>
                <w:bCs/>
                <w:sz w:val="20"/>
                <w:szCs w:val="20"/>
                <w:lang w:val="en-GB" w:eastAsia="ja-JP"/>
              </w:rPr>
              <w:t>RB allocation (RB</w:t>
            </w:r>
            <w:r>
              <w:rPr>
                <w:b/>
                <w:bCs/>
                <w:sz w:val="20"/>
                <w:szCs w:val="20"/>
                <w:vertAlign w:val="subscript"/>
                <w:lang w:val="en-GB" w:eastAsia="ja-JP"/>
              </w:rPr>
              <w:t>start</w:t>
            </w:r>
            <w:r>
              <w:rPr>
                <w:b/>
                <w:bCs/>
                <w:sz w:val="20"/>
                <w:szCs w:val="20"/>
                <w:lang w:val="en-GB" w:eastAsia="ja-JP"/>
              </w:rPr>
              <w:t>, L</w:t>
            </w:r>
            <w:r>
              <w:rPr>
                <w:b/>
                <w:bCs/>
                <w:sz w:val="20"/>
                <w:szCs w:val="20"/>
                <w:vertAlign w:val="subscript"/>
                <w:lang w:val="en-GB" w:eastAsia="ja-JP"/>
              </w:rPr>
              <w:t>CRB</w:t>
            </w:r>
            <w:r>
              <w:rPr>
                <w:b/>
                <w:bCs/>
                <w:sz w:val="20"/>
                <w:szCs w:val="20"/>
                <w:lang w:val="en-GB" w:eastAsia="ja-JP"/>
              </w:rPr>
              <w:t>)</w:t>
            </w:r>
          </w:p>
        </w:tc>
        <w:tc>
          <w:tcPr>
            <w:tcW w:w="1559" w:type="dxa"/>
            <w:tcBorders>
              <w:top w:val="single" w:sz="4" w:space="0" w:color="auto"/>
              <w:left w:val="single" w:sz="4" w:space="0" w:color="auto"/>
              <w:bottom w:val="single" w:sz="4" w:space="0" w:color="auto"/>
              <w:right w:val="single" w:sz="4" w:space="0" w:color="auto"/>
            </w:tcBorders>
            <w:hideMark/>
          </w:tcPr>
          <w:p w14:paraId="699AEADD" w14:textId="77777777" w:rsidR="004E7FF2" w:rsidRDefault="004E7FF2">
            <w:pPr>
              <w:rPr>
                <w:b/>
                <w:bCs/>
                <w:sz w:val="20"/>
                <w:szCs w:val="20"/>
                <w:lang w:val="en-GB" w:eastAsia="ja-JP"/>
              </w:rPr>
            </w:pPr>
            <w:r>
              <w:rPr>
                <w:b/>
                <w:bCs/>
                <w:sz w:val="20"/>
                <w:szCs w:val="20"/>
                <w:lang w:val="en-GB" w:eastAsia="ja-JP"/>
              </w:rPr>
              <w:t>ACLR Pass/fail</w:t>
            </w:r>
          </w:p>
        </w:tc>
        <w:tc>
          <w:tcPr>
            <w:tcW w:w="1418" w:type="dxa"/>
            <w:tcBorders>
              <w:top w:val="single" w:sz="4" w:space="0" w:color="auto"/>
              <w:left w:val="single" w:sz="4" w:space="0" w:color="auto"/>
              <w:bottom w:val="single" w:sz="4" w:space="0" w:color="auto"/>
              <w:right w:val="single" w:sz="4" w:space="0" w:color="auto"/>
            </w:tcBorders>
            <w:hideMark/>
          </w:tcPr>
          <w:p w14:paraId="773100DD" w14:textId="77777777" w:rsidR="004E7FF2" w:rsidRDefault="004E7FF2">
            <w:pPr>
              <w:rPr>
                <w:b/>
                <w:bCs/>
                <w:sz w:val="20"/>
                <w:szCs w:val="20"/>
                <w:lang w:val="en-GB" w:eastAsia="ja-JP"/>
              </w:rPr>
            </w:pPr>
            <w:r>
              <w:rPr>
                <w:b/>
                <w:bCs/>
                <w:sz w:val="20"/>
                <w:szCs w:val="20"/>
                <w:lang w:val="en-GB" w:eastAsia="ja-JP"/>
              </w:rPr>
              <w:t>SEM Pass/fail</w:t>
            </w:r>
          </w:p>
        </w:tc>
      </w:tr>
      <w:tr w:rsidR="004E7FF2" w14:paraId="52C10345" w14:textId="77777777" w:rsidTr="004E7FF2">
        <w:tc>
          <w:tcPr>
            <w:tcW w:w="2811" w:type="dxa"/>
            <w:tcBorders>
              <w:top w:val="single" w:sz="4" w:space="0" w:color="auto"/>
              <w:left w:val="single" w:sz="4" w:space="0" w:color="auto"/>
              <w:bottom w:val="single" w:sz="4" w:space="0" w:color="auto"/>
              <w:right w:val="single" w:sz="4" w:space="0" w:color="auto"/>
            </w:tcBorders>
            <w:hideMark/>
          </w:tcPr>
          <w:p w14:paraId="1693CA29" w14:textId="77777777" w:rsidR="004E7FF2" w:rsidRDefault="004E7FF2">
            <w:pPr>
              <w:rPr>
                <w:sz w:val="20"/>
                <w:szCs w:val="20"/>
                <w:lang w:val="en-GB" w:eastAsia="ja-JP"/>
              </w:rPr>
            </w:pPr>
            <w:r>
              <w:rPr>
                <w:sz w:val="20"/>
                <w:szCs w:val="20"/>
                <w:lang w:val="en-GB" w:eastAsia="ja-JP"/>
              </w:rPr>
              <w:t>DFT-s-OFDM, QPSK, 23dBm</w:t>
            </w:r>
          </w:p>
        </w:tc>
        <w:tc>
          <w:tcPr>
            <w:tcW w:w="3705" w:type="dxa"/>
            <w:tcBorders>
              <w:top w:val="single" w:sz="4" w:space="0" w:color="auto"/>
              <w:left w:val="single" w:sz="4" w:space="0" w:color="auto"/>
              <w:bottom w:val="single" w:sz="4" w:space="0" w:color="auto"/>
              <w:right w:val="single" w:sz="4" w:space="0" w:color="auto"/>
            </w:tcBorders>
            <w:hideMark/>
          </w:tcPr>
          <w:p w14:paraId="3EBF5079" w14:textId="77777777" w:rsidR="004E7FF2" w:rsidRDefault="004E7FF2">
            <w:pPr>
              <w:rPr>
                <w:sz w:val="20"/>
                <w:szCs w:val="20"/>
                <w:lang w:val="en-GB" w:eastAsia="ja-JP"/>
              </w:rPr>
            </w:pPr>
            <w:r>
              <w:rPr>
                <w:sz w:val="20"/>
                <w:szCs w:val="20"/>
                <w:lang w:val="en-GB" w:eastAsia="ja-JP"/>
              </w:rPr>
              <w:t>{91, 182}, {272, 1}</w:t>
            </w:r>
          </w:p>
        </w:tc>
        <w:tc>
          <w:tcPr>
            <w:tcW w:w="1559" w:type="dxa"/>
            <w:tcBorders>
              <w:top w:val="single" w:sz="4" w:space="0" w:color="auto"/>
              <w:left w:val="single" w:sz="4" w:space="0" w:color="auto"/>
              <w:bottom w:val="single" w:sz="4" w:space="0" w:color="auto"/>
              <w:right w:val="single" w:sz="4" w:space="0" w:color="auto"/>
            </w:tcBorders>
            <w:hideMark/>
          </w:tcPr>
          <w:p w14:paraId="4C7F1A08" w14:textId="77777777" w:rsidR="004E7FF2" w:rsidRDefault="004E7FF2">
            <w:pPr>
              <w:rPr>
                <w:sz w:val="20"/>
                <w:szCs w:val="20"/>
                <w:lang w:val="en-GB" w:eastAsia="ja-JP"/>
              </w:rPr>
            </w:pPr>
            <w:r>
              <w:rPr>
                <w:sz w:val="20"/>
                <w:szCs w:val="20"/>
                <w:lang w:val="en-GB" w:eastAsia="ja-JP"/>
              </w:rPr>
              <w:t>ALL PASS</w:t>
            </w:r>
          </w:p>
        </w:tc>
        <w:tc>
          <w:tcPr>
            <w:tcW w:w="1418" w:type="dxa"/>
            <w:tcBorders>
              <w:top w:val="single" w:sz="4" w:space="0" w:color="auto"/>
              <w:left w:val="single" w:sz="4" w:space="0" w:color="auto"/>
              <w:bottom w:val="single" w:sz="4" w:space="0" w:color="auto"/>
              <w:right w:val="single" w:sz="4" w:space="0" w:color="auto"/>
            </w:tcBorders>
            <w:hideMark/>
          </w:tcPr>
          <w:p w14:paraId="43168A36" w14:textId="77777777" w:rsidR="004E7FF2" w:rsidRDefault="004E7FF2">
            <w:pPr>
              <w:rPr>
                <w:sz w:val="20"/>
                <w:szCs w:val="20"/>
                <w:lang w:val="en-GB" w:eastAsia="ja-JP"/>
              </w:rPr>
            </w:pPr>
            <w:r>
              <w:rPr>
                <w:sz w:val="20"/>
                <w:szCs w:val="20"/>
                <w:lang w:val="en-GB" w:eastAsia="ja-JP"/>
              </w:rPr>
              <w:t>ALL PASS</w:t>
            </w:r>
          </w:p>
        </w:tc>
      </w:tr>
    </w:tbl>
    <w:p w14:paraId="51A75D1C" w14:textId="77777777" w:rsidR="004E7FF2" w:rsidRDefault="004E7FF2" w:rsidP="004E7FF2">
      <w:pPr>
        <w:jc w:val="both"/>
        <w:rPr>
          <w:rFonts w:eastAsiaTheme="minorEastAsia"/>
          <w:sz w:val="20"/>
          <w:szCs w:val="20"/>
        </w:rPr>
      </w:pPr>
    </w:p>
    <w:p w14:paraId="70B1B653" w14:textId="77777777" w:rsidR="00364F4B" w:rsidRDefault="00364F4B" w:rsidP="00364F4B">
      <w:pPr>
        <w:jc w:val="both"/>
        <w:rPr>
          <w:rFonts w:eastAsiaTheme="minorEastAsia"/>
          <w:sz w:val="20"/>
          <w:szCs w:val="20"/>
        </w:rPr>
      </w:pPr>
    </w:p>
    <w:p w14:paraId="6CAC77E0" w14:textId="77777777" w:rsidR="00364F4B" w:rsidRDefault="00364F4B" w:rsidP="00364F4B">
      <w:pPr>
        <w:jc w:val="both"/>
        <w:rPr>
          <w:rFonts w:eastAsiaTheme="minorEastAsia"/>
          <w:b/>
          <w:bCs/>
          <w:sz w:val="20"/>
          <w:szCs w:val="20"/>
          <w:u w:val="single"/>
        </w:rPr>
      </w:pPr>
      <w:r>
        <w:rPr>
          <w:rFonts w:eastAsiaTheme="minorEastAsia"/>
          <w:b/>
          <w:bCs/>
          <w:sz w:val="20"/>
          <w:szCs w:val="20"/>
          <w:u w:val="single"/>
        </w:rPr>
        <w:t>Why to specify the extension as “shifted OOBE” rather than “extended CBW”</w:t>
      </w:r>
    </w:p>
    <w:p w14:paraId="2F7FB19B" w14:textId="77777777" w:rsidR="00364F4B" w:rsidRDefault="00364F4B" w:rsidP="00364F4B">
      <w:pPr>
        <w:jc w:val="both"/>
        <w:rPr>
          <w:rFonts w:eastAsiaTheme="minorEastAsia"/>
          <w:sz w:val="20"/>
          <w:szCs w:val="20"/>
        </w:rPr>
      </w:pPr>
      <w:r>
        <w:rPr>
          <w:rFonts w:eastAsiaTheme="minorEastAsia"/>
          <w:sz w:val="20"/>
          <w:szCs w:val="20"/>
        </w:rPr>
        <w:t xml:space="preserve">When defining the SEM/ACLR requirements as integrated according to UE CBW, but where the starting point is shifted from the channel edge, this is not the same as the approach taken for scaling SEM/ACLR integration over a wider CBW. </w:t>
      </w:r>
    </w:p>
    <w:p w14:paraId="50CD4A12" w14:textId="77777777" w:rsidR="00364F4B" w:rsidRDefault="00364F4B" w:rsidP="00364F4B">
      <w:pPr>
        <w:jc w:val="both"/>
        <w:rPr>
          <w:rFonts w:eastAsiaTheme="minorEastAsia"/>
          <w:sz w:val="20"/>
          <w:szCs w:val="20"/>
        </w:rPr>
      </w:pPr>
    </w:p>
    <w:p w14:paraId="6E9F684E" w14:textId="77777777" w:rsidR="00364F4B" w:rsidRDefault="00364F4B" w:rsidP="00364F4B">
      <w:pPr>
        <w:jc w:val="both"/>
        <w:rPr>
          <w:rFonts w:eastAsiaTheme="minorEastAsia"/>
          <w:sz w:val="20"/>
          <w:szCs w:val="20"/>
        </w:rPr>
      </w:pPr>
      <w:r>
        <w:rPr>
          <w:rFonts w:eastAsiaTheme="minorEastAsia"/>
          <w:sz w:val="20"/>
          <w:szCs w:val="20"/>
        </w:rPr>
        <w:t>It cannot be assumed that the existing MPR rules can be applied for any combination of UE CBW and wider overlaid CBW in the same way as for a partial RB allocation operating in such a wider CBW. This would need all of the cases (including all UE CBW locations within each wider CBW) to be simulated for every combination of CBW and wider CBW, which appears to be a lot of effort for very limited gain.</w:t>
      </w:r>
    </w:p>
    <w:p w14:paraId="74717B62" w14:textId="77777777" w:rsidR="00364F4B" w:rsidRDefault="00364F4B" w:rsidP="00364F4B">
      <w:pPr>
        <w:jc w:val="both"/>
        <w:rPr>
          <w:rFonts w:eastAsiaTheme="minorEastAsia"/>
          <w:sz w:val="20"/>
          <w:szCs w:val="20"/>
        </w:rPr>
      </w:pPr>
    </w:p>
    <w:p w14:paraId="409752F7" w14:textId="4B26E0F5" w:rsidR="00364F4B" w:rsidRDefault="00364F4B" w:rsidP="00364F4B">
      <w:pPr>
        <w:jc w:val="both"/>
        <w:rPr>
          <w:rFonts w:eastAsiaTheme="minorEastAsia"/>
          <w:b/>
          <w:bCs/>
          <w:sz w:val="20"/>
          <w:szCs w:val="20"/>
        </w:rPr>
      </w:pPr>
      <w:r>
        <w:rPr>
          <w:rFonts w:eastAsiaTheme="minorEastAsia"/>
          <w:b/>
          <w:bCs/>
          <w:sz w:val="20"/>
          <w:szCs w:val="20"/>
          <w:u w:val="single"/>
        </w:rPr>
        <w:t>Proposal 4</w:t>
      </w:r>
      <w:r>
        <w:rPr>
          <w:rFonts w:eastAsiaTheme="minorEastAsia"/>
          <w:b/>
          <w:bCs/>
          <w:sz w:val="20"/>
          <w:szCs w:val="20"/>
        </w:rPr>
        <w:t>: Define the term in the specifications as “shifted OOBE” rather than “extended CBW”</w:t>
      </w:r>
    </w:p>
    <w:p w14:paraId="01A54F28" w14:textId="77777777" w:rsidR="004E7FF2" w:rsidRDefault="004E7FF2" w:rsidP="004E7FF2">
      <w:pPr>
        <w:spacing w:before="120"/>
        <w:jc w:val="both"/>
        <w:rPr>
          <w:rFonts w:eastAsiaTheme="minorEastAsia"/>
          <w:sz w:val="20"/>
          <w:szCs w:val="20"/>
        </w:rPr>
      </w:pPr>
    </w:p>
    <w:p w14:paraId="72377194" w14:textId="41940BBE" w:rsidR="002654FD" w:rsidRPr="002F582B" w:rsidRDefault="00590B16" w:rsidP="0040594F">
      <w:pPr>
        <w:jc w:val="both"/>
        <w:rPr>
          <w:rFonts w:eastAsiaTheme="minorEastAsia"/>
          <w:b/>
          <w:bCs/>
          <w:sz w:val="20"/>
          <w:szCs w:val="20"/>
          <w:u w:val="single"/>
        </w:rPr>
      </w:pPr>
      <w:r w:rsidRPr="002F582B">
        <w:rPr>
          <w:rFonts w:eastAsiaTheme="minorEastAsia"/>
          <w:b/>
          <w:bCs/>
          <w:sz w:val="20"/>
          <w:szCs w:val="20"/>
          <w:u w:val="single"/>
        </w:rPr>
        <w:t>In</w:t>
      </w:r>
      <w:r w:rsidR="00B97E1F" w:rsidRPr="002F582B">
        <w:rPr>
          <w:rFonts w:eastAsiaTheme="minorEastAsia"/>
          <w:b/>
          <w:bCs/>
          <w:sz w:val="20"/>
          <w:szCs w:val="20"/>
          <w:u w:val="single"/>
        </w:rPr>
        <w:t>B</w:t>
      </w:r>
      <w:r w:rsidRPr="002F582B">
        <w:rPr>
          <w:rFonts w:eastAsiaTheme="minorEastAsia"/>
          <w:b/>
          <w:bCs/>
          <w:sz w:val="20"/>
          <w:szCs w:val="20"/>
          <w:u w:val="single"/>
        </w:rPr>
        <w:t>and Emissions (IBE)</w:t>
      </w:r>
      <w:r w:rsidR="003B5BC9" w:rsidRPr="002F582B">
        <w:rPr>
          <w:rFonts w:eastAsiaTheme="minorEastAsia"/>
          <w:b/>
          <w:bCs/>
          <w:sz w:val="20"/>
          <w:szCs w:val="20"/>
          <w:u w:val="single"/>
        </w:rPr>
        <w:t xml:space="preserve"> between UE CBW edge and extended edge</w:t>
      </w:r>
    </w:p>
    <w:p w14:paraId="1AA632A6" w14:textId="77777777" w:rsidR="001E1052" w:rsidRPr="002F582B" w:rsidRDefault="001E1052" w:rsidP="001E1052">
      <w:pPr>
        <w:autoSpaceDN w:val="0"/>
        <w:spacing w:after="120"/>
        <w:rPr>
          <w:rFonts w:eastAsia="SimSun"/>
          <w:i/>
          <w:iCs/>
          <w:sz w:val="16"/>
          <w:szCs w:val="20"/>
          <w:lang w:eastAsia="zh-CN"/>
        </w:rPr>
      </w:pPr>
      <w:r w:rsidRPr="002F582B">
        <w:rPr>
          <w:rFonts w:eastAsia="SimSun"/>
          <w:i/>
          <w:iCs/>
          <w:sz w:val="20"/>
          <w:szCs w:val="20"/>
          <w:lang w:eastAsia="zh-CN"/>
        </w:rPr>
        <w:t>WF from RAN4#114bis</w:t>
      </w:r>
    </w:p>
    <w:p w14:paraId="74F1DC59" w14:textId="77777777" w:rsidR="001E1052" w:rsidRPr="002F582B" w:rsidRDefault="001E1052" w:rsidP="00263B0C">
      <w:pPr>
        <w:pStyle w:val="af4"/>
        <w:numPr>
          <w:ilvl w:val="0"/>
          <w:numId w:val="13"/>
        </w:numPr>
        <w:autoSpaceDN w:val="0"/>
        <w:spacing w:after="120"/>
        <w:jc w:val="both"/>
        <w:rPr>
          <w:rFonts w:eastAsia="MS Mincho"/>
          <w:i/>
          <w:iCs/>
          <w:sz w:val="20"/>
          <w:szCs w:val="20"/>
          <w:lang w:eastAsia="zh-CN"/>
        </w:rPr>
      </w:pPr>
      <w:r w:rsidRPr="002F582B">
        <w:rPr>
          <w:i/>
          <w:iCs/>
          <w:sz w:val="20"/>
          <w:szCs w:val="20"/>
          <w:lang w:eastAsia="zh-CN"/>
        </w:rPr>
        <w:t>Case 1 and case 3 could be further down selected</w:t>
      </w:r>
    </w:p>
    <w:p w14:paraId="7D9F3E8F" w14:textId="77777777" w:rsidR="001E1052" w:rsidRPr="002F582B" w:rsidRDefault="001E1052" w:rsidP="00263B0C">
      <w:pPr>
        <w:pStyle w:val="af4"/>
        <w:numPr>
          <w:ilvl w:val="0"/>
          <w:numId w:val="13"/>
        </w:numPr>
        <w:autoSpaceDN w:val="0"/>
        <w:spacing w:after="120"/>
        <w:jc w:val="both"/>
        <w:rPr>
          <w:i/>
          <w:iCs/>
          <w:sz w:val="20"/>
          <w:szCs w:val="20"/>
          <w:lang w:eastAsia="zh-CN"/>
        </w:rPr>
      </w:pPr>
      <w:r w:rsidRPr="002F582B">
        <w:rPr>
          <w:i/>
          <w:iCs/>
          <w:sz w:val="20"/>
          <w:szCs w:val="20"/>
          <w:lang w:eastAsia="zh-CN"/>
        </w:rPr>
        <w:t>GB of UE CBW may or may not be scheduled to other UEs</w:t>
      </w:r>
    </w:p>
    <w:p w14:paraId="612FFA72" w14:textId="77777777" w:rsidR="001E1052" w:rsidRPr="002F582B" w:rsidRDefault="001E1052" w:rsidP="00263B0C">
      <w:pPr>
        <w:pStyle w:val="af4"/>
        <w:numPr>
          <w:ilvl w:val="0"/>
          <w:numId w:val="13"/>
        </w:numPr>
        <w:autoSpaceDN w:val="0"/>
        <w:spacing w:after="120"/>
        <w:jc w:val="both"/>
        <w:rPr>
          <w:i/>
          <w:iCs/>
          <w:sz w:val="20"/>
          <w:szCs w:val="20"/>
          <w:lang w:eastAsia="zh-CN"/>
        </w:rPr>
      </w:pPr>
      <w:r w:rsidRPr="002F582B">
        <w:rPr>
          <w:i/>
          <w:iCs/>
          <w:sz w:val="20"/>
          <w:szCs w:val="20"/>
          <w:lang w:eastAsia="zh-CN"/>
        </w:rPr>
        <w:t>Extended IBE can be applied in the GB of UE CBW</w:t>
      </w:r>
    </w:p>
    <w:p w14:paraId="08A7C30E" w14:textId="77777777" w:rsidR="001E1052" w:rsidRPr="002F582B" w:rsidRDefault="001E1052" w:rsidP="00263B0C">
      <w:pPr>
        <w:pStyle w:val="af4"/>
        <w:numPr>
          <w:ilvl w:val="1"/>
          <w:numId w:val="13"/>
        </w:numPr>
        <w:autoSpaceDN w:val="0"/>
        <w:spacing w:after="120"/>
        <w:jc w:val="both"/>
        <w:rPr>
          <w:i/>
          <w:iCs/>
          <w:sz w:val="20"/>
          <w:szCs w:val="20"/>
          <w:lang w:eastAsia="zh-CN"/>
        </w:rPr>
      </w:pPr>
      <w:r w:rsidRPr="002F582B">
        <w:rPr>
          <w:i/>
          <w:iCs/>
          <w:sz w:val="20"/>
          <w:szCs w:val="20"/>
          <w:lang w:eastAsia="zh-CN"/>
        </w:rPr>
        <w:t>Relaxation can be considered for the GB, based on calculation from the existing IBE formula from the last RB of original UE CBW</w:t>
      </w:r>
    </w:p>
    <w:p w14:paraId="2569CAFE" w14:textId="2955D131" w:rsidR="00E4708C" w:rsidRPr="001E1052" w:rsidRDefault="001E1052" w:rsidP="00E4708C">
      <w:pPr>
        <w:autoSpaceDN w:val="0"/>
        <w:spacing w:after="120"/>
        <w:rPr>
          <w:rFonts w:eastAsia="SimSun"/>
          <w:sz w:val="20"/>
          <w:szCs w:val="20"/>
          <w:lang w:eastAsia="zh-CN"/>
        </w:rPr>
      </w:pPr>
      <w:r>
        <w:rPr>
          <w:rFonts w:eastAsia="SimSun"/>
          <w:sz w:val="20"/>
          <w:szCs w:val="20"/>
          <w:lang w:eastAsia="zh-CN"/>
        </w:rPr>
        <w:t>The 2 cases left for down-selection are shown below:</w:t>
      </w:r>
    </w:p>
    <w:p w14:paraId="4152343D" w14:textId="674DAD57" w:rsidR="00E4708C" w:rsidRPr="001E1052" w:rsidRDefault="00E4708C" w:rsidP="00E4708C">
      <w:pPr>
        <w:autoSpaceDN w:val="0"/>
        <w:spacing w:after="120"/>
        <w:jc w:val="center"/>
        <w:rPr>
          <w:rFonts w:eastAsia="SimSun"/>
          <w:sz w:val="20"/>
          <w:szCs w:val="20"/>
          <w:lang w:eastAsia="zh-CN"/>
        </w:rPr>
      </w:pPr>
      <w:r w:rsidRPr="001E1052">
        <w:rPr>
          <w:rFonts w:eastAsia="SimSun"/>
          <w:sz w:val="20"/>
          <w:szCs w:val="20"/>
          <w:lang w:eastAsia="zh-CN"/>
        </w:rPr>
        <w:t>Figure 1: Case 1 for IBE</w:t>
      </w:r>
    </w:p>
    <w:p w14:paraId="79A05F80" w14:textId="09AAD138" w:rsidR="00E4708C" w:rsidRPr="00E4708C" w:rsidRDefault="00E4708C" w:rsidP="00E4708C">
      <w:pPr>
        <w:autoSpaceDN w:val="0"/>
        <w:spacing w:after="120"/>
        <w:jc w:val="center"/>
        <w:rPr>
          <w:rFonts w:eastAsia="SimSun"/>
          <w:sz w:val="20"/>
          <w:lang w:eastAsia="zh-CN"/>
        </w:rPr>
      </w:pPr>
      <w:r>
        <w:rPr>
          <w:rFonts w:eastAsia="SimSun"/>
          <w:sz w:val="20"/>
          <w:szCs w:val="20"/>
          <w:lang w:eastAsia="zh-CN"/>
        </w:rPr>
        <w:object w:dxaOrig="3372" w:dyaOrig="1248" w14:anchorId="5943D8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6pt;height:62.9pt" o:ole="">
            <v:imagedata r:id="rId8" o:title=""/>
          </v:shape>
          <o:OLEObject Type="Embed" ProgID="Visio.Drawing.15" ShapeID="_x0000_i1025" DrawAspect="Content" ObjectID="_1808345634" r:id="rId9"/>
        </w:object>
      </w:r>
    </w:p>
    <w:p w14:paraId="60F028FF" w14:textId="4A18C379" w:rsidR="00E4708C" w:rsidRPr="00E4708C" w:rsidRDefault="00E4708C" w:rsidP="001E1052">
      <w:pPr>
        <w:autoSpaceDN w:val="0"/>
        <w:spacing w:after="120"/>
        <w:jc w:val="center"/>
        <w:rPr>
          <w:rFonts w:eastAsia="SimSun"/>
          <w:sz w:val="20"/>
          <w:lang w:eastAsia="zh-CN"/>
        </w:rPr>
      </w:pPr>
      <w:r w:rsidRPr="00E4708C">
        <w:rPr>
          <w:rFonts w:eastAsia="SimSun"/>
          <w:sz w:val="20"/>
          <w:lang w:eastAsia="zh-CN"/>
        </w:rPr>
        <w:t>Figure 2: Case 3 for IBE</w:t>
      </w:r>
    </w:p>
    <w:p w14:paraId="53992CB0" w14:textId="732813F2" w:rsidR="00E4708C" w:rsidRPr="00E4708C" w:rsidRDefault="00E4708C" w:rsidP="00E4708C">
      <w:pPr>
        <w:autoSpaceDN w:val="0"/>
        <w:spacing w:after="120"/>
        <w:jc w:val="center"/>
        <w:rPr>
          <w:rFonts w:eastAsia="SimSun"/>
          <w:sz w:val="20"/>
          <w:lang w:eastAsia="zh-CN"/>
        </w:rPr>
      </w:pPr>
      <w:r>
        <w:rPr>
          <w:rFonts w:eastAsia="SimSun"/>
          <w:lang w:eastAsia="zh-CN"/>
        </w:rPr>
        <w:object w:dxaOrig="3528" w:dyaOrig="1320" w14:anchorId="1637BBB0">
          <v:shape id="_x0000_i1026" type="#_x0000_t75" style="width:176.8pt;height:66.1pt" o:ole="">
            <v:imagedata r:id="rId10" o:title=""/>
          </v:shape>
          <o:OLEObject Type="Embed" ProgID="Visio.Drawing.15" ShapeID="_x0000_i1026" DrawAspect="Content" ObjectID="_1808345635" r:id="rId11"/>
        </w:object>
      </w:r>
    </w:p>
    <w:p w14:paraId="7A1E442F" w14:textId="37CF30E2" w:rsidR="00ED26D8" w:rsidRDefault="001E1052" w:rsidP="00E4708C">
      <w:pPr>
        <w:spacing w:after="120"/>
        <w:rPr>
          <w:sz w:val="20"/>
          <w:szCs w:val="20"/>
          <w:lang w:eastAsia="zh-CN"/>
        </w:rPr>
      </w:pPr>
      <w:r>
        <w:rPr>
          <w:sz w:val="20"/>
          <w:szCs w:val="20"/>
          <w:lang w:eastAsia="zh-CN"/>
        </w:rPr>
        <w:t>At RAN4#114bis, results were shown that suggested that an MPR relaxation is needed with a full RB allocation for case 3, where IBE applies directly from the edge allocated RBs. We have performed analysis of the General IBE mask, and we have still not found any reason to suggest that the MPR would be any worse than the inner RB allocation MPR if IBE is applied from the edge allocated RBs instead of after the guardband</w:t>
      </w:r>
      <w:r w:rsidR="005D01D7">
        <w:rPr>
          <w:sz w:val="20"/>
          <w:szCs w:val="20"/>
          <w:lang w:eastAsia="zh-CN"/>
        </w:rPr>
        <w:t xml:space="preserve"> or needing the IBE relaxation for case 1 vs case 3</w:t>
      </w:r>
      <w:r>
        <w:rPr>
          <w:sz w:val="20"/>
          <w:szCs w:val="20"/>
          <w:lang w:eastAsia="zh-CN"/>
        </w:rPr>
        <w:t>. We also analysed the different formulas of the general IBE mask, and found that when there is a full RB allocation, the “condition 1” only ever applies for QPSK and 16QAM modulation for RBs in a range far beyond 0.5*L</w:t>
      </w:r>
      <w:r w:rsidRPr="001E1052">
        <w:rPr>
          <w:sz w:val="20"/>
          <w:szCs w:val="20"/>
          <w:vertAlign w:val="subscript"/>
          <w:lang w:eastAsia="zh-CN"/>
        </w:rPr>
        <w:t>CRB</w:t>
      </w:r>
      <w:r>
        <w:rPr>
          <w:sz w:val="20"/>
          <w:szCs w:val="20"/>
          <w:lang w:eastAsia="zh-CN"/>
        </w:rPr>
        <w:t xml:space="preserve"> from the allocated RBs, and therefore for a full RB allocation with 0.5*N</w:t>
      </w:r>
      <w:r w:rsidRPr="001E1052">
        <w:rPr>
          <w:sz w:val="20"/>
          <w:szCs w:val="20"/>
          <w:vertAlign w:val="subscript"/>
          <w:lang w:eastAsia="zh-CN"/>
        </w:rPr>
        <w:t>RB</w:t>
      </w:r>
      <w:r>
        <w:rPr>
          <w:sz w:val="20"/>
          <w:szCs w:val="20"/>
          <w:lang w:eastAsia="zh-CN"/>
        </w:rPr>
        <w:t xml:space="preserve"> shift or 0.5 * UE CBW shift, this would be in the new (shifted) OOB region outside of the so-called “extended BW”. And for “condition 2” NRB does not apply so a change of NRB would make no difference. </w:t>
      </w:r>
    </w:p>
    <w:p w14:paraId="05E1A8CF" w14:textId="04743119" w:rsidR="00ED26D8" w:rsidRDefault="001E1052" w:rsidP="00ED26D8">
      <w:pPr>
        <w:spacing w:after="120"/>
        <w:rPr>
          <w:sz w:val="20"/>
          <w:szCs w:val="20"/>
          <w:lang w:eastAsia="zh-CN"/>
        </w:rPr>
      </w:pPr>
      <w:r>
        <w:rPr>
          <w:sz w:val="20"/>
          <w:szCs w:val="20"/>
          <w:lang w:eastAsia="zh-CN"/>
        </w:rPr>
        <w:t>While we acknowledge that relaxing IBE could allow the UE to transmit higher power, the question is whether the “inner RB allocation MPR” requirements can be achieved or not, and we have found no evidence to suggest that would not be the case.</w:t>
      </w:r>
      <w:r w:rsidR="00ED26D8">
        <w:rPr>
          <w:sz w:val="20"/>
          <w:szCs w:val="20"/>
          <w:lang w:eastAsia="zh-CN"/>
        </w:rPr>
        <w:t xml:space="preserve"> Also, intuitively, if IBE is not an issue for inner RB allocation MPR where there is no ACLR/SEM issue, why would it now be more impacting than inner RB allocation MPR if ACLR/SEM is no longer a bottleneck. Therefore, we see </w:t>
      </w:r>
      <w:r w:rsidR="005D01D7">
        <w:rPr>
          <w:sz w:val="20"/>
          <w:szCs w:val="20"/>
          <w:lang w:eastAsia="zh-CN"/>
        </w:rPr>
        <w:t xml:space="preserve">have not found any </w:t>
      </w:r>
      <w:r w:rsidR="00ED26D8">
        <w:rPr>
          <w:sz w:val="20"/>
          <w:szCs w:val="20"/>
          <w:lang w:eastAsia="zh-CN"/>
        </w:rPr>
        <w:t xml:space="preserve">justification for relaxing the IBE requirements and </w:t>
      </w:r>
      <w:r w:rsidR="0016127F">
        <w:rPr>
          <w:sz w:val="20"/>
          <w:szCs w:val="20"/>
          <w:lang w:eastAsia="zh-CN"/>
        </w:rPr>
        <w:t>have seen</w:t>
      </w:r>
      <w:r w:rsidR="00ED26D8">
        <w:rPr>
          <w:sz w:val="20"/>
          <w:szCs w:val="20"/>
          <w:lang w:eastAsia="zh-CN"/>
        </w:rPr>
        <w:t xml:space="preserve"> no justification for a more relaxed MPR than inner RB allocation MPR to be required in this case.</w:t>
      </w:r>
    </w:p>
    <w:p w14:paraId="5A0908DE" w14:textId="2F6492F1" w:rsidR="00E4708C" w:rsidRPr="00ED26D8" w:rsidRDefault="00ED26D8" w:rsidP="00ED26D8">
      <w:pPr>
        <w:spacing w:after="120"/>
        <w:rPr>
          <w:b/>
          <w:bCs/>
          <w:sz w:val="20"/>
          <w:szCs w:val="20"/>
          <w:lang w:eastAsia="zh-CN"/>
        </w:rPr>
      </w:pPr>
      <w:r w:rsidRPr="00ED26D8">
        <w:rPr>
          <w:b/>
          <w:bCs/>
          <w:sz w:val="20"/>
          <w:szCs w:val="20"/>
          <w:u w:val="single"/>
          <w:lang w:eastAsia="zh-CN"/>
        </w:rPr>
        <w:t>Proposal 5</w:t>
      </w:r>
      <w:r w:rsidRPr="00ED26D8">
        <w:rPr>
          <w:b/>
          <w:bCs/>
          <w:sz w:val="20"/>
          <w:szCs w:val="20"/>
          <w:lang w:eastAsia="zh-CN"/>
        </w:rPr>
        <w:t xml:space="preserve">: Adopt </w:t>
      </w:r>
      <w:r w:rsidR="005D01D7">
        <w:rPr>
          <w:b/>
          <w:bCs/>
          <w:sz w:val="20"/>
          <w:szCs w:val="20"/>
          <w:lang w:eastAsia="zh-CN"/>
        </w:rPr>
        <w:t>Case</w:t>
      </w:r>
      <w:r w:rsidRPr="00ED26D8">
        <w:rPr>
          <w:b/>
          <w:bCs/>
          <w:sz w:val="20"/>
          <w:szCs w:val="20"/>
          <w:lang w:eastAsia="zh-CN"/>
        </w:rPr>
        <w:t xml:space="preserve"> 3 for IBE with</w:t>
      </w:r>
      <w:r w:rsidR="005D01D7">
        <w:rPr>
          <w:b/>
          <w:bCs/>
          <w:sz w:val="20"/>
          <w:szCs w:val="20"/>
          <w:lang w:eastAsia="zh-CN"/>
        </w:rPr>
        <w:t xml:space="preserve"> IBE starting from the last allocated RB</w:t>
      </w:r>
      <w:r w:rsidR="0016127F">
        <w:rPr>
          <w:b/>
          <w:bCs/>
          <w:sz w:val="20"/>
          <w:szCs w:val="20"/>
          <w:lang w:eastAsia="zh-CN"/>
        </w:rPr>
        <w:t>, unless there is clear evidence and explanation as to why inner RB allocation MPR cannot be achieved</w:t>
      </w:r>
      <w:r w:rsidR="005D01D7">
        <w:rPr>
          <w:b/>
          <w:bCs/>
          <w:sz w:val="20"/>
          <w:szCs w:val="20"/>
          <w:lang w:eastAsia="zh-CN"/>
        </w:rPr>
        <w:t>.</w:t>
      </w:r>
      <w:r w:rsidR="00403C72">
        <w:rPr>
          <w:b/>
          <w:bCs/>
          <w:sz w:val="20"/>
          <w:szCs w:val="20"/>
          <w:lang w:eastAsia="zh-CN"/>
        </w:rPr>
        <w:t xml:space="preserve"> If it is proven that inner RB allocation MPR cannot be achieved, then consider a relaxation as necessary.</w:t>
      </w:r>
      <w:r w:rsidR="00403C72">
        <w:rPr>
          <w:rFonts w:asciiTheme="minorHAnsi" w:hAnsiTheme="minorHAnsi" w:cstheme="minorBidi"/>
          <w:b/>
          <w:bCs/>
          <w:kern w:val="2"/>
          <w:sz w:val="21"/>
          <w:szCs w:val="22"/>
          <w:lang w:eastAsia="zh-CN"/>
        </w:rPr>
        <w:t xml:space="preserve">                     </w:t>
      </w:r>
      <w:r w:rsidR="005D01D7">
        <w:rPr>
          <w:b/>
          <w:bCs/>
          <w:sz w:val="20"/>
          <w:szCs w:val="20"/>
          <w:lang w:eastAsia="zh-CN"/>
        </w:rPr>
        <w:t xml:space="preserve"> </w:t>
      </w:r>
      <w:r w:rsidR="00E4708C" w:rsidRPr="00ED26D8">
        <w:rPr>
          <w:rFonts w:asciiTheme="minorHAnsi" w:hAnsiTheme="minorHAnsi" w:cstheme="minorBidi"/>
          <w:b/>
          <w:bCs/>
          <w:kern w:val="2"/>
          <w:sz w:val="21"/>
          <w:szCs w:val="22"/>
          <w:lang w:eastAsia="zh-CN"/>
        </w:rPr>
        <w:t xml:space="preserve">                     </w:t>
      </w:r>
    </w:p>
    <w:p w14:paraId="3DB6D0E5" w14:textId="3C5E2E16" w:rsidR="007925A3" w:rsidRPr="00444E91" w:rsidRDefault="00ED26D8" w:rsidP="0040594F">
      <w:pPr>
        <w:jc w:val="both"/>
        <w:rPr>
          <w:rFonts w:eastAsiaTheme="minorEastAsia"/>
          <w:b/>
          <w:bCs/>
          <w:sz w:val="20"/>
          <w:szCs w:val="20"/>
          <w:u w:val="single"/>
        </w:rPr>
      </w:pPr>
      <w:r w:rsidRPr="00444E91">
        <w:rPr>
          <w:rFonts w:eastAsiaTheme="minorEastAsia"/>
          <w:b/>
          <w:bCs/>
          <w:sz w:val="20"/>
          <w:szCs w:val="20"/>
          <w:u w:val="single"/>
        </w:rPr>
        <w:t>Potential MPR rules</w:t>
      </w:r>
    </w:p>
    <w:p w14:paraId="46969703" w14:textId="77777777" w:rsidR="00ED26D8" w:rsidRDefault="00ED26D8" w:rsidP="00ED26D8">
      <w:pPr>
        <w:spacing w:before="120" w:after="120"/>
        <w:rPr>
          <w:sz w:val="20"/>
          <w:szCs w:val="20"/>
        </w:rPr>
      </w:pPr>
      <w:r>
        <w:rPr>
          <w:sz w:val="20"/>
          <w:szCs w:val="20"/>
        </w:rPr>
        <w:t>The MPR rules need to be discussed once we see the full picture of how many shift multipliers would be defined, and corresponding simulation results proving that L</w:t>
      </w:r>
      <w:r w:rsidRPr="00ED26D8">
        <w:rPr>
          <w:sz w:val="20"/>
          <w:szCs w:val="20"/>
          <w:vertAlign w:val="subscript"/>
        </w:rPr>
        <w:t>CRB</w:t>
      </w:r>
      <w:r>
        <w:rPr>
          <w:sz w:val="20"/>
          <w:szCs w:val="20"/>
        </w:rPr>
        <w:t xml:space="preserve"> can scale with the shifted OOBE for values other than 0.5*. However, we provide the following possible options below </w:t>
      </w:r>
      <w:r w:rsidR="00F11FCB" w:rsidRPr="00ED26D8">
        <w:rPr>
          <w:sz w:val="20"/>
          <w:szCs w:val="20"/>
        </w:rPr>
        <w:t xml:space="preserve">to cover both Symmetrical and asymmetrical OOBE shifts, </w:t>
      </w:r>
    </w:p>
    <w:p w14:paraId="2C9EA5F2" w14:textId="611B3FCF" w:rsidR="00444E91" w:rsidRPr="00444E91" w:rsidRDefault="00444E91" w:rsidP="00444E91">
      <w:pPr>
        <w:pStyle w:val="Web"/>
        <w:spacing w:before="120" w:beforeAutospacing="0" w:after="120" w:afterAutospacing="0" w:line="216" w:lineRule="auto"/>
        <w:rPr>
          <w:rFonts w:eastAsia="DengXian"/>
          <w:b/>
          <w:bCs/>
          <w:color w:val="353630"/>
          <w:kern w:val="2"/>
          <w:sz w:val="20"/>
          <w:szCs w:val="20"/>
        </w:rPr>
      </w:pPr>
      <w:r w:rsidRPr="00444E91">
        <w:rPr>
          <w:rFonts w:eastAsia="DengXian"/>
          <w:b/>
          <w:bCs/>
          <w:color w:val="353630"/>
          <w:kern w:val="2"/>
          <w:sz w:val="20"/>
          <w:szCs w:val="20"/>
        </w:rPr>
        <w:t xml:space="preserve">Option </w:t>
      </w:r>
      <w:r>
        <w:rPr>
          <w:rFonts w:eastAsia="DengXian"/>
          <w:b/>
          <w:bCs/>
          <w:color w:val="353630"/>
          <w:kern w:val="2"/>
          <w:sz w:val="20"/>
          <w:szCs w:val="20"/>
        </w:rPr>
        <w:t>1</w:t>
      </w:r>
      <w:r w:rsidRPr="00444E91">
        <w:rPr>
          <w:rFonts w:eastAsia="DengXian"/>
          <w:b/>
          <w:bCs/>
          <w:color w:val="353630"/>
          <w:kern w:val="2"/>
          <w:sz w:val="20"/>
          <w:szCs w:val="20"/>
        </w:rPr>
        <w:t>: Applying for a 0.5* NRB or 0.5* UE CBW shift</w:t>
      </w:r>
    </w:p>
    <w:p w14:paraId="5D50FE91" w14:textId="77777777" w:rsidR="00444E91" w:rsidRDefault="00444E91" w:rsidP="00444E91">
      <w:pPr>
        <w:spacing w:before="120" w:after="120"/>
        <w:ind w:left="840"/>
        <w:rPr>
          <w:sz w:val="20"/>
          <w:szCs w:val="20"/>
        </w:rPr>
      </w:pPr>
      <w:r>
        <w:rPr>
          <w:sz w:val="20"/>
          <w:szCs w:val="20"/>
        </w:rPr>
        <w:t>RB</w:t>
      </w:r>
      <w:r>
        <w:rPr>
          <w:sz w:val="20"/>
          <w:szCs w:val="20"/>
          <w:vertAlign w:val="subscript"/>
        </w:rPr>
        <w:t xml:space="preserve">Start,Low </w:t>
      </w:r>
      <w:r>
        <w:rPr>
          <w:sz w:val="20"/>
          <w:szCs w:val="20"/>
        </w:rPr>
        <w:t>= min(max(1, floor(L</w:t>
      </w:r>
      <w:r>
        <w:rPr>
          <w:sz w:val="20"/>
          <w:szCs w:val="20"/>
          <w:vertAlign w:val="subscript"/>
        </w:rPr>
        <w:t>CRB</w:t>
      </w:r>
      <w:r>
        <w:rPr>
          <w:sz w:val="20"/>
          <w:szCs w:val="20"/>
        </w:rPr>
        <w:t>/2)), OOB</w:t>
      </w:r>
      <w:r>
        <w:rPr>
          <w:sz w:val="20"/>
          <w:szCs w:val="20"/>
          <w:vertAlign w:val="subscript"/>
        </w:rPr>
        <w:t>Ext,Low</w:t>
      </w:r>
      <w:r>
        <w:rPr>
          <w:sz w:val="20"/>
          <w:szCs w:val="20"/>
        </w:rPr>
        <w:t xml:space="preserve">), </w:t>
      </w:r>
    </w:p>
    <w:p w14:paraId="0742EFB9" w14:textId="77777777" w:rsidR="00444E91" w:rsidRDefault="00444E91" w:rsidP="00444E91">
      <w:pPr>
        <w:spacing w:before="120" w:after="120"/>
        <w:ind w:left="840" w:firstLine="840"/>
        <w:rPr>
          <w:sz w:val="20"/>
          <w:szCs w:val="20"/>
        </w:rPr>
      </w:pPr>
      <w:r>
        <w:rPr>
          <w:sz w:val="20"/>
          <w:szCs w:val="20"/>
        </w:rPr>
        <w:t>where OOB</w:t>
      </w:r>
      <w:r>
        <w:rPr>
          <w:sz w:val="20"/>
          <w:szCs w:val="20"/>
          <w:vertAlign w:val="subscript"/>
        </w:rPr>
        <w:t>Ext,Low</w:t>
      </w:r>
      <w:r>
        <w:rPr>
          <w:sz w:val="20"/>
          <w:szCs w:val="20"/>
        </w:rPr>
        <w:t>:</w:t>
      </w:r>
    </w:p>
    <w:p w14:paraId="2DF34707" w14:textId="77777777" w:rsidR="00444E91" w:rsidRDefault="00444E91" w:rsidP="00444E91">
      <w:pPr>
        <w:spacing w:before="120" w:after="120"/>
        <w:ind w:left="1680" w:firstLine="840"/>
        <w:rPr>
          <w:sz w:val="20"/>
          <w:szCs w:val="20"/>
        </w:rPr>
      </w:pPr>
      <w:r>
        <w:rPr>
          <w:sz w:val="20"/>
          <w:szCs w:val="20"/>
        </w:rPr>
        <w:t xml:space="preserve">= 0, if OOBE shift from lower UE CBW edge applied, </w:t>
      </w:r>
    </w:p>
    <w:p w14:paraId="68F8A192" w14:textId="77777777" w:rsidR="00444E91" w:rsidRDefault="00444E91" w:rsidP="00444E91">
      <w:pPr>
        <w:spacing w:before="120" w:after="120"/>
        <w:ind w:left="1680" w:firstLine="840"/>
        <w:rPr>
          <w:sz w:val="20"/>
          <w:szCs w:val="20"/>
        </w:rPr>
      </w:pPr>
      <w:r>
        <w:rPr>
          <w:sz w:val="20"/>
          <w:szCs w:val="20"/>
        </w:rPr>
        <w:t>= ∞ otherwise</w:t>
      </w:r>
    </w:p>
    <w:p w14:paraId="255B4990" w14:textId="77777777" w:rsidR="00444E91" w:rsidRDefault="00444E91" w:rsidP="00444E91">
      <w:pPr>
        <w:spacing w:before="120" w:after="120"/>
        <w:ind w:left="840"/>
        <w:rPr>
          <w:sz w:val="20"/>
          <w:szCs w:val="20"/>
        </w:rPr>
      </w:pPr>
      <w:r>
        <w:rPr>
          <w:sz w:val="20"/>
          <w:szCs w:val="20"/>
        </w:rPr>
        <w:t>RB</w:t>
      </w:r>
      <w:r>
        <w:rPr>
          <w:sz w:val="20"/>
          <w:szCs w:val="20"/>
          <w:vertAlign w:val="subscript"/>
        </w:rPr>
        <w:t>Start,High</w:t>
      </w:r>
      <w:r>
        <w:rPr>
          <w:sz w:val="20"/>
          <w:szCs w:val="20"/>
        </w:rPr>
        <w:t xml:space="preserve"> = N</w:t>
      </w:r>
      <w:r>
        <w:rPr>
          <w:sz w:val="20"/>
          <w:szCs w:val="20"/>
          <w:vertAlign w:val="subscript"/>
        </w:rPr>
        <w:t>RB</w:t>
      </w:r>
      <w:r>
        <w:rPr>
          <w:sz w:val="20"/>
          <w:szCs w:val="20"/>
        </w:rPr>
        <w:t xml:space="preserve"> – min(max(1, floor(L</w:t>
      </w:r>
      <w:r>
        <w:rPr>
          <w:sz w:val="20"/>
          <w:szCs w:val="20"/>
          <w:vertAlign w:val="subscript"/>
        </w:rPr>
        <w:t>CRB</w:t>
      </w:r>
      <w:r>
        <w:rPr>
          <w:sz w:val="20"/>
          <w:szCs w:val="20"/>
        </w:rPr>
        <w:t>/2)), OOB</w:t>
      </w:r>
      <w:r>
        <w:rPr>
          <w:sz w:val="20"/>
          <w:szCs w:val="20"/>
          <w:vertAlign w:val="subscript"/>
        </w:rPr>
        <w:t>Ext,High</w:t>
      </w:r>
      <w:r>
        <w:rPr>
          <w:sz w:val="20"/>
          <w:szCs w:val="20"/>
        </w:rPr>
        <w:t>) – L</w:t>
      </w:r>
      <w:r>
        <w:rPr>
          <w:sz w:val="20"/>
          <w:szCs w:val="20"/>
          <w:vertAlign w:val="subscript"/>
        </w:rPr>
        <w:t>CRB</w:t>
      </w:r>
      <w:r>
        <w:rPr>
          <w:sz w:val="20"/>
          <w:szCs w:val="20"/>
        </w:rPr>
        <w:t>,</w:t>
      </w:r>
    </w:p>
    <w:p w14:paraId="3A21E5E4" w14:textId="77777777" w:rsidR="00444E91" w:rsidRDefault="00444E91" w:rsidP="00444E91">
      <w:pPr>
        <w:spacing w:before="120" w:after="120"/>
        <w:ind w:left="840"/>
        <w:rPr>
          <w:sz w:val="20"/>
          <w:szCs w:val="20"/>
        </w:rPr>
      </w:pPr>
      <w:r>
        <w:rPr>
          <w:sz w:val="20"/>
          <w:szCs w:val="20"/>
        </w:rPr>
        <w:tab/>
        <w:t>where OOB</w:t>
      </w:r>
      <w:r>
        <w:rPr>
          <w:sz w:val="20"/>
          <w:szCs w:val="20"/>
          <w:vertAlign w:val="subscript"/>
        </w:rPr>
        <w:t>Ext,High</w:t>
      </w:r>
      <w:r>
        <w:rPr>
          <w:sz w:val="20"/>
          <w:szCs w:val="20"/>
        </w:rPr>
        <w:t xml:space="preserve">: </w:t>
      </w:r>
    </w:p>
    <w:p w14:paraId="417D27BB" w14:textId="77777777" w:rsidR="00444E91" w:rsidRDefault="00444E91" w:rsidP="00444E91">
      <w:pPr>
        <w:spacing w:before="120" w:after="120"/>
        <w:ind w:left="1680" w:firstLine="840"/>
        <w:rPr>
          <w:sz w:val="20"/>
          <w:szCs w:val="20"/>
        </w:rPr>
      </w:pPr>
      <w:r>
        <w:rPr>
          <w:sz w:val="20"/>
          <w:szCs w:val="20"/>
        </w:rPr>
        <w:t xml:space="preserve">= 0, if OOBE shift from upper UE CBW edge applied, </w:t>
      </w:r>
    </w:p>
    <w:p w14:paraId="796A0AD8" w14:textId="77777777" w:rsidR="00444E91" w:rsidRDefault="00444E91" w:rsidP="00444E91">
      <w:pPr>
        <w:spacing w:before="120" w:after="120"/>
        <w:ind w:left="1680" w:firstLine="840"/>
        <w:rPr>
          <w:sz w:val="20"/>
          <w:szCs w:val="20"/>
        </w:rPr>
      </w:pPr>
      <w:r>
        <w:rPr>
          <w:sz w:val="20"/>
          <w:szCs w:val="20"/>
        </w:rPr>
        <w:t>= ∞ otherwise</w:t>
      </w:r>
    </w:p>
    <w:p w14:paraId="742EFF78" w14:textId="77777777" w:rsidR="00444E91" w:rsidRDefault="00444E91" w:rsidP="00444E91">
      <w:pPr>
        <w:spacing w:before="120" w:after="120"/>
        <w:ind w:left="840"/>
        <w:rPr>
          <w:sz w:val="20"/>
          <w:szCs w:val="20"/>
        </w:rPr>
      </w:pPr>
      <w:r>
        <w:rPr>
          <w:sz w:val="20"/>
          <w:szCs w:val="20"/>
        </w:rPr>
        <w:t>The RB allocation is an inner RB allocation if the following conditions are met:</w:t>
      </w:r>
    </w:p>
    <w:p w14:paraId="4A0B9A4D" w14:textId="77777777" w:rsidR="00444E91" w:rsidRDefault="00444E91" w:rsidP="00444E91">
      <w:pPr>
        <w:spacing w:before="120" w:after="120"/>
        <w:ind w:left="840" w:firstLine="840"/>
        <w:rPr>
          <w:sz w:val="20"/>
          <w:szCs w:val="20"/>
        </w:rPr>
      </w:pPr>
      <w:r>
        <w:rPr>
          <w:sz w:val="20"/>
          <w:szCs w:val="20"/>
        </w:rPr>
        <w:t>RB</w:t>
      </w:r>
      <w:r>
        <w:rPr>
          <w:sz w:val="20"/>
          <w:szCs w:val="20"/>
          <w:vertAlign w:val="subscript"/>
        </w:rPr>
        <w:t xml:space="preserve">Start,Low </w:t>
      </w:r>
      <w:r>
        <w:rPr>
          <w:sz w:val="20"/>
          <w:szCs w:val="20"/>
        </w:rPr>
        <w:t>≤ RB</w:t>
      </w:r>
      <w:r>
        <w:rPr>
          <w:sz w:val="20"/>
          <w:szCs w:val="20"/>
          <w:vertAlign w:val="subscript"/>
        </w:rPr>
        <w:t xml:space="preserve">Start </w:t>
      </w:r>
      <w:r>
        <w:rPr>
          <w:sz w:val="20"/>
          <w:szCs w:val="20"/>
        </w:rPr>
        <w:t>≤ RB</w:t>
      </w:r>
      <w:r>
        <w:rPr>
          <w:sz w:val="20"/>
          <w:szCs w:val="20"/>
          <w:vertAlign w:val="subscript"/>
        </w:rPr>
        <w:t>Start,High</w:t>
      </w:r>
    </w:p>
    <w:p w14:paraId="3A2B519E" w14:textId="77777777" w:rsidR="00444E91" w:rsidRDefault="00444E91" w:rsidP="00444E91">
      <w:pPr>
        <w:spacing w:before="120" w:after="120"/>
        <w:ind w:left="840" w:firstLine="840"/>
        <w:rPr>
          <w:sz w:val="20"/>
          <w:szCs w:val="20"/>
        </w:rPr>
      </w:pPr>
      <w:r>
        <w:rPr>
          <w:sz w:val="20"/>
          <w:szCs w:val="20"/>
        </w:rPr>
        <w:t>L</w:t>
      </w:r>
      <w:r>
        <w:rPr>
          <w:sz w:val="20"/>
          <w:szCs w:val="20"/>
          <w:vertAlign w:val="subscript"/>
        </w:rPr>
        <w:t>CRB</w:t>
      </w:r>
      <w:r>
        <w:rPr>
          <w:sz w:val="20"/>
          <w:szCs w:val="20"/>
        </w:rPr>
        <w:t xml:space="preserve"> ≤ ceil(NRB/2 * L</w:t>
      </w:r>
      <w:r>
        <w:rPr>
          <w:sz w:val="20"/>
          <w:szCs w:val="20"/>
          <w:vertAlign w:val="subscript"/>
        </w:rPr>
        <w:t>CRB</w:t>
      </w:r>
      <w:r>
        <w:rPr>
          <w:sz w:val="20"/>
          <w:szCs w:val="20"/>
        </w:rPr>
        <w:t>_</w:t>
      </w:r>
      <w:r>
        <w:rPr>
          <w:sz w:val="20"/>
          <w:szCs w:val="20"/>
          <w:vertAlign w:val="subscript"/>
        </w:rPr>
        <w:t xml:space="preserve"> Ext</w:t>
      </w:r>
      <w:r>
        <w:rPr>
          <w:sz w:val="20"/>
          <w:szCs w:val="20"/>
        </w:rPr>
        <w:t>) , where L</w:t>
      </w:r>
      <w:r>
        <w:rPr>
          <w:sz w:val="20"/>
          <w:szCs w:val="20"/>
          <w:vertAlign w:val="subscript"/>
        </w:rPr>
        <w:t>CRB</w:t>
      </w:r>
      <w:r>
        <w:rPr>
          <w:sz w:val="20"/>
          <w:szCs w:val="20"/>
        </w:rPr>
        <w:t>_</w:t>
      </w:r>
      <w:r>
        <w:rPr>
          <w:sz w:val="20"/>
          <w:szCs w:val="20"/>
          <w:vertAlign w:val="subscript"/>
        </w:rPr>
        <w:t xml:space="preserve"> Ext</w:t>
      </w:r>
      <w:r>
        <w:rPr>
          <w:sz w:val="20"/>
          <w:szCs w:val="20"/>
        </w:rPr>
        <w:t>:</w:t>
      </w:r>
    </w:p>
    <w:p w14:paraId="2AE6E57A" w14:textId="77777777" w:rsidR="00444E91" w:rsidRDefault="00444E91" w:rsidP="00444E91">
      <w:pPr>
        <w:spacing w:before="120" w:after="120"/>
        <w:ind w:left="840"/>
        <w:rPr>
          <w:sz w:val="20"/>
          <w:szCs w:val="20"/>
        </w:rPr>
      </w:pPr>
      <w:r>
        <w:rPr>
          <w:sz w:val="20"/>
          <w:szCs w:val="20"/>
        </w:rPr>
        <w:tab/>
      </w:r>
      <w:r>
        <w:rPr>
          <w:sz w:val="20"/>
          <w:szCs w:val="20"/>
        </w:rPr>
        <w:tab/>
        <w:t>= 2, if OOBE shifted by 0.5 * UE CBW on both upper and lower edge</w:t>
      </w:r>
    </w:p>
    <w:p w14:paraId="76FE534E" w14:textId="77777777" w:rsidR="00444E91" w:rsidRDefault="00444E91" w:rsidP="00444E91">
      <w:pPr>
        <w:spacing w:before="120" w:after="120"/>
        <w:ind w:left="840"/>
        <w:rPr>
          <w:sz w:val="20"/>
          <w:szCs w:val="20"/>
        </w:rPr>
      </w:pPr>
      <w:r>
        <w:rPr>
          <w:sz w:val="20"/>
          <w:szCs w:val="20"/>
        </w:rPr>
        <w:tab/>
      </w:r>
      <w:r>
        <w:rPr>
          <w:sz w:val="20"/>
          <w:szCs w:val="20"/>
        </w:rPr>
        <w:tab/>
        <w:t>= 4/3, if OOBE shifted by 0.5 * UE CBW on only one of either upper or lower edge</w:t>
      </w:r>
    </w:p>
    <w:p w14:paraId="25B5BB4D" w14:textId="77777777" w:rsidR="00444E91" w:rsidRDefault="00444E91" w:rsidP="00444E91">
      <w:pPr>
        <w:spacing w:before="120" w:after="120"/>
        <w:rPr>
          <w:sz w:val="20"/>
          <w:szCs w:val="20"/>
        </w:rPr>
      </w:pPr>
      <w:r>
        <w:rPr>
          <w:sz w:val="20"/>
          <w:szCs w:val="20"/>
        </w:rPr>
        <w:tab/>
      </w:r>
      <w:r>
        <w:rPr>
          <w:sz w:val="20"/>
          <w:szCs w:val="20"/>
        </w:rPr>
        <w:tab/>
        <w:t>= 1 otherwise</w:t>
      </w:r>
    </w:p>
    <w:p w14:paraId="79094186" w14:textId="5BE65957" w:rsidR="00A76262" w:rsidRPr="00444E91" w:rsidRDefault="00ED26D8" w:rsidP="00444E91">
      <w:pPr>
        <w:spacing w:before="120" w:after="120"/>
        <w:rPr>
          <w:b/>
          <w:bCs/>
          <w:sz w:val="20"/>
          <w:szCs w:val="20"/>
        </w:rPr>
      </w:pPr>
      <w:r w:rsidRPr="00444E91">
        <w:rPr>
          <w:b/>
          <w:bCs/>
          <w:sz w:val="20"/>
          <w:szCs w:val="20"/>
        </w:rPr>
        <w:t xml:space="preserve">Option </w:t>
      </w:r>
      <w:r w:rsidR="00444E91" w:rsidRPr="00444E91">
        <w:rPr>
          <w:b/>
          <w:bCs/>
          <w:sz w:val="20"/>
          <w:szCs w:val="20"/>
        </w:rPr>
        <w:t>2</w:t>
      </w:r>
      <w:r w:rsidRPr="00444E91">
        <w:rPr>
          <w:b/>
          <w:bCs/>
          <w:sz w:val="20"/>
          <w:szCs w:val="20"/>
        </w:rPr>
        <w:t>: A</w:t>
      </w:r>
      <w:r w:rsidR="00F11FCB" w:rsidRPr="00444E91">
        <w:rPr>
          <w:b/>
          <w:bCs/>
          <w:sz w:val="20"/>
          <w:szCs w:val="20"/>
        </w:rPr>
        <w:t xml:space="preserve">pplying only for </w:t>
      </w:r>
      <w:r w:rsidR="00991814" w:rsidRPr="00444E91">
        <w:rPr>
          <w:b/>
          <w:bCs/>
          <w:sz w:val="20"/>
          <w:szCs w:val="20"/>
        </w:rPr>
        <w:t xml:space="preserve">any </w:t>
      </w:r>
      <w:r w:rsidR="00F11FCB" w:rsidRPr="00444E91">
        <w:rPr>
          <w:b/>
          <w:bCs/>
          <w:sz w:val="20"/>
          <w:szCs w:val="20"/>
        </w:rPr>
        <w:t>shifts</w:t>
      </w:r>
      <w:r w:rsidR="00991814" w:rsidRPr="00444E91">
        <w:rPr>
          <w:b/>
          <w:bCs/>
          <w:sz w:val="20"/>
          <w:szCs w:val="20"/>
        </w:rPr>
        <w:t xml:space="preserve"> – pending simulations proving that such current BW scaling can apply to all shifts</w:t>
      </w:r>
      <w:r w:rsidR="00F11FCB" w:rsidRPr="00444E91">
        <w:rPr>
          <w:b/>
          <w:bCs/>
          <w:sz w:val="20"/>
          <w:szCs w:val="20"/>
        </w:rPr>
        <w:t>.</w:t>
      </w:r>
    </w:p>
    <w:p w14:paraId="74A4E7E9" w14:textId="77777777" w:rsidR="00AA6899" w:rsidRPr="00ED26D8" w:rsidRDefault="00AA6899" w:rsidP="00AA6899">
      <w:pPr>
        <w:pStyle w:val="Web"/>
        <w:spacing w:before="0" w:beforeAutospacing="0" w:after="160" w:afterAutospacing="0" w:line="256" w:lineRule="auto"/>
      </w:pPr>
      <w:r w:rsidRPr="00ED26D8">
        <w:rPr>
          <w:rFonts w:eastAsia="DengXian"/>
          <w:color w:val="353630"/>
          <w:kern w:val="2"/>
          <w:sz w:val="20"/>
          <w:szCs w:val="20"/>
        </w:rPr>
        <w:t>Where the following parameters are defined to specify valid RB allocation ranges for Outer and Inner RB allocations:</w:t>
      </w:r>
    </w:p>
    <w:p w14:paraId="7561BD92" w14:textId="77777777" w:rsidR="00AA6899" w:rsidRPr="00ED26D8" w:rsidRDefault="00AA6899" w:rsidP="00263B0C">
      <w:pPr>
        <w:pStyle w:val="af4"/>
        <w:numPr>
          <w:ilvl w:val="0"/>
          <w:numId w:val="9"/>
        </w:numPr>
        <w:spacing w:line="288" w:lineRule="auto"/>
        <w:rPr>
          <w:sz w:val="20"/>
        </w:rPr>
      </w:pPr>
      <w:r w:rsidRPr="00ED26D8">
        <w:rPr>
          <w:rFonts w:eastAsia="DengXian"/>
          <w:color w:val="353630"/>
          <w:kern w:val="2"/>
          <w:sz w:val="20"/>
          <w:szCs w:val="20"/>
        </w:rPr>
        <w:t>N</w:t>
      </w:r>
      <w:r w:rsidRPr="00ED26D8">
        <w:rPr>
          <w:rFonts w:eastAsia="DengXian"/>
          <w:color w:val="353630"/>
          <w:kern w:val="2"/>
          <w:position w:val="-5"/>
          <w:sz w:val="20"/>
          <w:szCs w:val="20"/>
          <w:vertAlign w:val="subscript"/>
        </w:rPr>
        <w:t xml:space="preserve">RB </w:t>
      </w:r>
      <w:r w:rsidRPr="00ED26D8">
        <w:rPr>
          <w:rFonts w:eastAsia="DengXian"/>
          <w:color w:val="353630"/>
          <w:kern w:val="2"/>
          <w:sz w:val="20"/>
          <w:szCs w:val="20"/>
        </w:rPr>
        <w:t>is the maximum number of RBs for a given Channel bandwidth and sub-carrier spacing defined in Table 5.3.2-1</w:t>
      </w:r>
    </w:p>
    <w:p w14:paraId="41B27869" w14:textId="77777777" w:rsidR="00AA6899" w:rsidRPr="00ED26D8" w:rsidRDefault="00AA6899" w:rsidP="00263B0C">
      <w:pPr>
        <w:pStyle w:val="af4"/>
        <w:numPr>
          <w:ilvl w:val="0"/>
          <w:numId w:val="9"/>
        </w:numPr>
        <w:spacing w:line="216" w:lineRule="auto"/>
        <w:rPr>
          <w:sz w:val="20"/>
        </w:rPr>
      </w:pPr>
      <w:r w:rsidRPr="00ED26D8">
        <w:rPr>
          <w:color w:val="353630"/>
          <w:kern w:val="24"/>
          <w:sz w:val="20"/>
          <w:szCs w:val="20"/>
        </w:rPr>
        <w:t>RB</w:t>
      </w:r>
      <w:r w:rsidRPr="00ED26D8">
        <w:rPr>
          <w:color w:val="353630"/>
          <w:kern w:val="24"/>
          <w:position w:val="-5"/>
          <w:sz w:val="20"/>
          <w:szCs w:val="20"/>
          <w:vertAlign w:val="subscript"/>
        </w:rPr>
        <w:t xml:space="preserve">Start,Low </w:t>
      </w:r>
      <w:r w:rsidRPr="00ED26D8">
        <w:rPr>
          <w:color w:val="353630"/>
          <w:kern w:val="24"/>
          <w:sz w:val="20"/>
          <w:szCs w:val="20"/>
        </w:rPr>
        <w:t>= ceil [ L</w:t>
      </w:r>
      <w:r w:rsidRPr="00ED26D8">
        <w:rPr>
          <w:color w:val="353630"/>
          <w:kern w:val="24"/>
          <w:position w:val="-5"/>
          <w:sz w:val="20"/>
          <w:szCs w:val="20"/>
          <w:vertAlign w:val="subscript"/>
        </w:rPr>
        <w:t>CRB</w:t>
      </w:r>
      <w:r w:rsidRPr="00ED26D8">
        <w:rPr>
          <w:color w:val="353630"/>
          <w:kern w:val="24"/>
          <w:sz w:val="20"/>
          <w:szCs w:val="20"/>
        </w:rPr>
        <w:t xml:space="preserve"> * (N</w:t>
      </w:r>
      <w:r w:rsidRPr="00ED26D8">
        <w:rPr>
          <w:color w:val="353630"/>
          <w:kern w:val="24"/>
          <w:position w:val="-5"/>
          <w:sz w:val="20"/>
          <w:szCs w:val="20"/>
          <w:vertAlign w:val="subscript"/>
        </w:rPr>
        <w:t>RB</w:t>
      </w:r>
      <w:r w:rsidRPr="00ED26D8">
        <w:rPr>
          <w:color w:val="353630"/>
          <w:kern w:val="24"/>
          <w:sz w:val="20"/>
          <w:szCs w:val="20"/>
        </w:rPr>
        <w:t xml:space="preserve"> - (N</w:t>
      </w:r>
      <w:r w:rsidRPr="00ED26D8">
        <w:rPr>
          <w:color w:val="353630"/>
          <w:kern w:val="24"/>
          <w:position w:val="-5"/>
          <w:sz w:val="20"/>
          <w:szCs w:val="20"/>
          <w:vertAlign w:val="subscript"/>
        </w:rPr>
        <w:t>RB</w:t>
      </w:r>
      <w:r w:rsidRPr="00ED26D8">
        <w:rPr>
          <w:color w:val="353630"/>
          <w:kern w:val="24"/>
          <w:sz w:val="20"/>
          <w:szCs w:val="20"/>
        </w:rPr>
        <w:t xml:space="preserve"> + RB</w:t>
      </w:r>
      <w:r w:rsidRPr="00ED26D8">
        <w:rPr>
          <w:color w:val="353630"/>
          <w:kern w:val="24"/>
          <w:position w:val="-5"/>
          <w:sz w:val="20"/>
          <w:szCs w:val="20"/>
          <w:vertAlign w:val="subscript"/>
        </w:rPr>
        <w:t>Ext,Low</w:t>
      </w:r>
      <w:r w:rsidRPr="00ED26D8">
        <w:rPr>
          <w:color w:val="353630"/>
          <w:kern w:val="24"/>
          <w:sz w:val="20"/>
          <w:szCs w:val="20"/>
        </w:rPr>
        <w:t>)*2/3) / ((N</w:t>
      </w:r>
      <w:r w:rsidRPr="00ED26D8">
        <w:rPr>
          <w:color w:val="353630"/>
          <w:kern w:val="24"/>
          <w:position w:val="-5"/>
          <w:sz w:val="20"/>
          <w:szCs w:val="20"/>
          <w:vertAlign w:val="subscript"/>
        </w:rPr>
        <w:t>RB</w:t>
      </w:r>
      <w:r w:rsidRPr="00ED26D8">
        <w:rPr>
          <w:color w:val="353630"/>
          <w:kern w:val="24"/>
          <w:sz w:val="20"/>
          <w:szCs w:val="20"/>
        </w:rPr>
        <w:t xml:space="preserve"> + RB</w:t>
      </w:r>
      <w:r w:rsidRPr="00ED26D8">
        <w:rPr>
          <w:color w:val="353630"/>
          <w:kern w:val="24"/>
          <w:position w:val="-5"/>
          <w:sz w:val="20"/>
          <w:szCs w:val="20"/>
          <w:vertAlign w:val="subscript"/>
        </w:rPr>
        <w:t>Ext,Low</w:t>
      </w:r>
      <w:r w:rsidRPr="00ED26D8">
        <w:rPr>
          <w:color w:val="353630"/>
          <w:kern w:val="24"/>
          <w:sz w:val="20"/>
          <w:szCs w:val="20"/>
        </w:rPr>
        <w:t xml:space="preserve">)*2/3) ] </w:t>
      </w:r>
    </w:p>
    <w:p w14:paraId="76C21D0C" w14:textId="77777777" w:rsidR="00AA6899" w:rsidRPr="00ED26D8" w:rsidRDefault="00AA6899" w:rsidP="00AA6899">
      <w:pPr>
        <w:pStyle w:val="Web"/>
        <w:spacing w:before="120" w:beforeAutospacing="0" w:after="120" w:afterAutospacing="0" w:line="216" w:lineRule="auto"/>
        <w:ind w:left="1109"/>
      </w:pPr>
      <w:r w:rsidRPr="00ED26D8">
        <w:rPr>
          <w:color w:val="353630"/>
          <w:kern w:val="24"/>
          <w:sz w:val="20"/>
          <w:szCs w:val="20"/>
        </w:rPr>
        <w:lastRenderedPageBreak/>
        <w:tab/>
        <w:t>where RB</w:t>
      </w:r>
      <w:r w:rsidRPr="00ED26D8">
        <w:rPr>
          <w:color w:val="353630"/>
          <w:kern w:val="24"/>
          <w:position w:val="-5"/>
          <w:sz w:val="20"/>
          <w:szCs w:val="20"/>
          <w:vertAlign w:val="subscript"/>
        </w:rPr>
        <w:t xml:space="preserve">Ext,Low </w:t>
      </w:r>
      <w:r w:rsidRPr="00ED26D8">
        <w:rPr>
          <w:color w:val="353630"/>
          <w:kern w:val="24"/>
          <w:sz w:val="20"/>
          <w:szCs w:val="20"/>
        </w:rPr>
        <w:t xml:space="preserve">= number of RBs extension of start of OOBE mask from lowest RB </w:t>
      </w:r>
    </w:p>
    <w:p w14:paraId="0FE14B73" w14:textId="77777777" w:rsidR="00AA6899" w:rsidRPr="00ED26D8" w:rsidRDefault="00AA6899" w:rsidP="00AA6899">
      <w:pPr>
        <w:pStyle w:val="Web"/>
        <w:spacing w:before="120" w:beforeAutospacing="0" w:after="120" w:afterAutospacing="0" w:line="216" w:lineRule="auto"/>
        <w:ind w:left="1109"/>
      </w:pPr>
      <w:r w:rsidRPr="00ED26D8">
        <w:rPr>
          <w:rFonts w:eastAsia="DengXian"/>
          <w:color w:val="353630"/>
          <w:kern w:val="2"/>
          <w:sz w:val="20"/>
          <w:szCs w:val="20"/>
        </w:rPr>
        <w:tab/>
        <w:t>where ceil(x) is the smallest integer greater than or equal to x.</w:t>
      </w:r>
    </w:p>
    <w:p w14:paraId="51183871" w14:textId="77777777" w:rsidR="00AA6899" w:rsidRPr="00ED26D8" w:rsidRDefault="00AA6899" w:rsidP="00263B0C">
      <w:pPr>
        <w:pStyle w:val="af4"/>
        <w:numPr>
          <w:ilvl w:val="0"/>
          <w:numId w:val="10"/>
        </w:numPr>
        <w:spacing w:line="216" w:lineRule="auto"/>
        <w:rPr>
          <w:sz w:val="20"/>
        </w:rPr>
      </w:pPr>
      <w:r w:rsidRPr="00ED26D8">
        <w:rPr>
          <w:color w:val="353630"/>
          <w:kern w:val="24"/>
          <w:sz w:val="20"/>
          <w:szCs w:val="20"/>
        </w:rPr>
        <w:t>RB</w:t>
      </w:r>
      <w:r w:rsidRPr="00ED26D8">
        <w:rPr>
          <w:color w:val="353630"/>
          <w:kern w:val="24"/>
          <w:position w:val="-5"/>
          <w:sz w:val="20"/>
          <w:szCs w:val="20"/>
          <w:vertAlign w:val="subscript"/>
        </w:rPr>
        <w:t>Start,High</w:t>
      </w:r>
      <w:r w:rsidRPr="00ED26D8">
        <w:rPr>
          <w:color w:val="353630"/>
          <w:kern w:val="24"/>
          <w:sz w:val="20"/>
          <w:szCs w:val="20"/>
        </w:rPr>
        <w:t xml:space="preserve"> = N</w:t>
      </w:r>
      <w:r w:rsidRPr="00ED26D8">
        <w:rPr>
          <w:color w:val="353630"/>
          <w:kern w:val="24"/>
          <w:position w:val="-5"/>
          <w:sz w:val="20"/>
          <w:szCs w:val="20"/>
          <w:vertAlign w:val="subscript"/>
        </w:rPr>
        <w:t>RB</w:t>
      </w:r>
      <w:r w:rsidRPr="00ED26D8">
        <w:rPr>
          <w:color w:val="353630"/>
          <w:kern w:val="24"/>
          <w:sz w:val="20"/>
          <w:szCs w:val="20"/>
        </w:rPr>
        <w:t xml:space="preserve"> – ceil [ L</w:t>
      </w:r>
      <w:r w:rsidRPr="00ED26D8">
        <w:rPr>
          <w:color w:val="353630"/>
          <w:kern w:val="24"/>
          <w:position w:val="-5"/>
          <w:sz w:val="20"/>
          <w:szCs w:val="20"/>
          <w:vertAlign w:val="subscript"/>
        </w:rPr>
        <w:t>CRB</w:t>
      </w:r>
      <w:r w:rsidRPr="00ED26D8">
        <w:rPr>
          <w:color w:val="353630"/>
          <w:kern w:val="24"/>
          <w:sz w:val="20"/>
          <w:szCs w:val="20"/>
        </w:rPr>
        <w:t xml:space="preserve"> * (N</w:t>
      </w:r>
      <w:r w:rsidRPr="00ED26D8">
        <w:rPr>
          <w:color w:val="353630"/>
          <w:kern w:val="24"/>
          <w:position w:val="-5"/>
          <w:sz w:val="20"/>
          <w:szCs w:val="20"/>
          <w:vertAlign w:val="subscript"/>
        </w:rPr>
        <w:t>RB</w:t>
      </w:r>
      <w:r w:rsidRPr="00ED26D8">
        <w:rPr>
          <w:color w:val="353630"/>
          <w:kern w:val="24"/>
          <w:sz w:val="20"/>
          <w:szCs w:val="20"/>
        </w:rPr>
        <w:t xml:space="preserve"> - (N</w:t>
      </w:r>
      <w:r w:rsidRPr="00ED26D8">
        <w:rPr>
          <w:color w:val="353630"/>
          <w:kern w:val="24"/>
          <w:position w:val="-5"/>
          <w:sz w:val="20"/>
          <w:szCs w:val="20"/>
          <w:vertAlign w:val="subscript"/>
        </w:rPr>
        <w:t>RB</w:t>
      </w:r>
      <w:r w:rsidRPr="00ED26D8">
        <w:rPr>
          <w:color w:val="353630"/>
          <w:kern w:val="24"/>
          <w:sz w:val="20"/>
          <w:szCs w:val="20"/>
        </w:rPr>
        <w:t xml:space="preserve"> + RB</w:t>
      </w:r>
      <w:r w:rsidRPr="00ED26D8">
        <w:rPr>
          <w:color w:val="353630"/>
          <w:kern w:val="24"/>
          <w:position w:val="-5"/>
          <w:sz w:val="20"/>
          <w:szCs w:val="20"/>
          <w:vertAlign w:val="subscript"/>
        </w:rPr>
        <w:t>Ext,High</w:t>
      </w:r>
      <w:r w:rsidRPr="00ED26D8">
        <w:rPr>
          <w:color w:val="353630"/>
          <w:kern w:val="24"/>
          <w:sz w:val="20"/>
          <w:szCs w:val="20"/>
        </w:rPr>
        <w:t>)*2/3) / ((N</w:t>
      </w:r>
      <w:r w:rsidRPr="00ED26D8">
        <w:rPr>
          <w:color w:val="353630"/>
          <w:kern w:val="24"/>
          <w:position w:val="-5"/>
          <w:sz w:val="20"/>
          <w:szCs w:val="20"/>
          <w:vertAlign w:val="subscript"/>
        </w:rPr>
        <w:t>RB</w:t>
      </w:r>
      <w:r w:rsidRPr="00ED26D8">
        <w:rPr>
          <w:color w:val="353630"/>
          <w:kern w:val="24"/>
          <w:sz w:val="20"/>
          <w:szCs w:val="20"/>
        </w:rPr>
        <w:t xml:space="preserve"> + RB</w:t>
      </w:r>
      <w:r w:rsidRPr="00ED26D8">
        <w:rPr>
          <w:color w:val="353630"/>
          <w:kern w:val="24"/>
          <w:position w:val="-5"/>
          <w:sz w:val="20"/>
          <w:szCs w:val="20"/>
          <w:vertAlign w:val="subscript"/>
        </w:rPr>
        <w:t>Ext,High</w:t>
      </w:r>
      <w:r w:rsidRPr="00ED26D8">
        <w:rPr>
          <w:color w:val="353630"/>
          <w:kern w:val="24"/>
          <w:sz w:val="20"/>
          <w:szCs w:val="20"/>
        </w:rPr>
        <w:t>)*2/3) ] – L</w:t>
      </w:r>
      <w:r w:rsidRPr="00ED26D8">
        <w:rPr>
          <w:color w:val="353630"/>
          <w:kern w:val="24"/>
          <w:position w:val="-5"/>
          <w:sz w:val="20"/>
          <w:szCs w:val="20"/>
          <w:vertAlign w:val="subscript"/>
        </w:rPr>
        <w:t>CRB</w:t>
      </w:r>
      <w:r w:rsidRPr="00ED26D8">
        <w:rPr>
          <w:color w:val="353630"/>
          <w:kern w:val="24"/>
          <w:sz w:val="20"/>
          <w:szCs w:val="20"/>
        </w:rPr>
        <w:t>,</w:t>
      </w:r>
    </w:p>
    <w:p w14:paraId="293A33B3" w14:textId="77777777" w:rsidR="00AA6899" w:rsidRPr="00ED26D8" w:rsidRDefault="00AA6899" w:rsidP="00AA6899">
      <w:pPr>
        <w:pStyle w:val="Web"/>
        <w:spacing w:before="120" w:beforeAutospacing="0" w:after="120" w:afterAutospacing="0" w:line="216" w:lineRule="auto"/>
        <w:ind w:left="418"/>
      </w:pPr>
      <w:r w:rsidRPr="00ED26D8">
        <w:rPr>
          <w:color w:val="353630"/>
          <w:kern w:val="24"/>
          <w:sz w:val="20"/>
          <w:szCs w:val="20"/>
        </w:rPr>
        <w:tab/>
        <w:t>where RB</w:t>
      </w:r>
      <w:r w:rsidRPr="00ED26D8">
        <w:rPr>
          <w:color w:val="353630"/>
          <w:kern w:val="24"/>
          <w:position w:val="-5"/>
          <w:sz w:val="20"/>
          <w:szCs w:val="20"/>
          <w:vertAlign w:val="subscript"/>
        </w:rPr>
        <w:t xml:space="preserve">Ext,High </w:t>
      </w:r>
      <w:r w:rsidRPr="00ED26D8">
        <w:rPr>
          <w:color w:val="353630"/>
          <w:kern w:val="24"/>
          <w:sz w:val="20"/>
          <w:szCs w:val="20"/>
        </w:rPr>
        <w:t xml:space="preserve">= number of RBs extension of start of OOBE mask from highest RB </w:t>
      </w:r>
    </w:p>
    <w:p w14:paraId="38DE1C0A" w14:textId="77777777" w:rsidR="00AA6899" w:rsidRPr="00ED26D8" w:rsidRDefault="00AA6899" w:rsidP="00AA6899">
      <w:pPr>
        <w:pStyle w:val="Web"/>
        <w:spacing w:before="120" w:beforeAutospacing="0" w:after="120" w:afterAutospacing="0" w:line="216" w:lineRule="auto"/>
        <w:ind w:left="418"/>
      </w:pPr>
      <w:r w:rsidRPr="00ED26D8">
        <w:rPr>
          <w:rFonts w:eastAsia="DengXian"/>
          <w:color w:val="353630"/>
          <w:kern w:val="2"/>
          <w:sz w:val="20"/>
          <w:szCs w:val="20"/>
        </w:rPr>
        <w:tab/>
        <w:t>where ceil(x) is the smallest integer greater than or equal to x.</w:t>
      </w:r>
    </w:p>
    <w:p w14:paraId="3BE68672" w14:textId="77777777" w:rsidR="00AA6899" w:rsidRPr="00ED26D8" w:rsidRDefault="00AA6899" w:rsidP="00263B0C">
      <w:pPr>
        <w:pStyle w:val="af4"/>
        <w:numPr>
          <w:ilvl w:val="0"/>
          <w:numId w:val="11"/>
        </w:numPr>
        <w:spacing w:line="216" w:lineRule="auto"/>
        <w:rPr>
          <w:sz w:val="20"/>
        </w:rPr>
      </w:pPr>
      <w:r w:rsidRPr="00ED26D8">
        <w:rPr>
          <w:color w:val="353630"/>
          <w:kern w:val="24"/>
          <w:sz w:val="20"/>
          <w:szCs w:val="20"/>
        </w:rPr>
        <w:t>The RB allocation is an inner RB allocation if the following conditions are met:</w:t>
      </w:r>
    </w:p>
    <w:p w14:paraId="15C0A2F3" w14:textId="77777777" w:rsidR="00AA6899" w:rsidRPr="00ED26D8" w:rsidRDefault="00AA6899" w:rsidP="00AA6899">
      <w:pPr>
        <w:pStyle w:val="Web"/>
        <w:spacing w:before="120" w:beforeAutospacing="0" w:after="120" w:afterAutospacing="0" w:line="216" w:lineRule="auto"/>
        <w:ind w:left="864"/>
      </w:pPr>
      <w:r w:rsidRPr="00ED26D8">
        <w:rPr>
          <w:color w:val="353630"/>
          <w:kern w:val="24"/>
          <w:sz w:val="20"/>
          <w:szCs w:val="20"/>
        </w:rPr>
        <w:t>RB</w:t>
      </w:r>
      <w:r w:rsidRPr="00ED26D8">
        <w:rPr>
          <w:color w:val="353630"/>
          <w:kern w:val="24"/>
          <w:position w:val="-5"/>
          <w:sz w:val="20"/>
          <w:szCs w:val="20"/>
          <w:vertAlign w:val="subscript"/>
        </w:rPr>
        <w:t xml:space="preserve">Start,Low </w:t>
      </w:r>
      <w:r w:rsidRPr="00ED26D8">
        <w:rPr>
          <w:color w:val="353630"/>
          <w:kern w:val="24"/>
          <w:sz w:val="20"/>
          <w:szCs w:val="20"/>
        </w:rPr>
        <w:t>≤ RB</w:t>
      </w:r>
      <w:r w:rsidRPr="00ED26D8">
        <w:rPr>
          <w:color w:val="353630"/>
          <w:kern w:val="24"/>
          <w:position w:val="-5"/>
          <w:sz w:val="20"/>
          <w:szCs w:val="20"/>
          <w:vertAlign w:val="subscript"/>
        </w:rPr>
        <w:t xml:space="preserve">Start </w:t>
      </w:r>
      <w:r w:rsidRPr="00ED26D8">
        <w:rPr>
          <w:color w:val="353630"/>
          <w:kern w:val="24"/>
          <w:sz w:val="20"/>
          <w:szCs w:val="20"/>
        </w:rPr>
        <w:t>≤ RB</w:t>
      </w:r>
      <w:r w:rsidRPr="00ED26D8">
        <w:rPr>
          <w:color w:val="353630"/>
          <w:kern w:val="24"/>
          <w:position w:val="-5"/>
          <w:sz w:val="20"/>
          <w:szCs w:val="20"/>
          <w:vertAlign w:val="subscript"/>
        </w:rPr>
        <w:t>Start,High</w:t>
      </w:r>
    </w:p>
    <w:p w14:paraId="1A380E76" w14:textId="77777777" w:rsidR="00AA6899" w:rsidRPr="00ED26D8" w:rsidRDefault="00AA6899" w:rsidP="00AA6899">
      <w:pPr>
        <w:pStyle w:val="Web"/>
        <w:spacing w:before="120" w:beforeAutospacing="0" w:after="120" w:afterAutospacing="0" w:line="216" w:lineRule="auto"/>
        <w:ind w:left="864"/>
      </w:pPr>
      <w:r w:rsidRPr="00ED26D8">
        <w:rPr>
          <w:color w:val="353630"/>
          <w:kern w:val="24"/>
          <w:sz w:val="20"/>
          <w:szCs w:val="20"/>
        </w:rPr>
        <w:t>and</w:t>
      </w:r>
    </w:p>
    <w:p w14:paraId="738F7199" w14:textId="77777777" w:rsidR="00AA6899" w:rsidRPr="00ED26D8" w:rsidRDefault="00AA6899" w:rsidP="00AA6899">
      <w:pPr>
        <w:pStyle w:val="Web"/>
        <w:spacing w:before="120" w:beforeAutospacing="0" w:after="120" w:afterAutospacing="0" w:line="216" w:lineRule="auto"/>
        <w:ind w:left="864"/>
      </w:pPr>
      <w:r w:rsidRPr="00ED26D8">
        <w:rPr>
          <w:color w:val="353630"/>
          <w:kern w:val="24"/>
          <w:sz w:val="20"/>
          <w:szCs w:val="20"/>
        </w:rPr>
        <w:t>L</w:t>
      </w:r>
      <w:r w:rsidRPr="00ED26D8">
        <w:rPr>
          <w:color w:val="353630"/>
          <w:kern w:val="24"/>
          <w:position w:val="-5"/>
          <w:sz w:val="20"/>
          <w:szCs w:val="20"/>
          <w:vertAlign w:val="subscript"/>
        </w:rPr>
        <w:t>CRB</w:t>
      </w:r>
      <w:r w:rsidRPr="00ED26D8">
        <w:rPr>
          <w:color w:val="353630"/>
          <w:kern w:val="24"/>
          <w:sz w:val="20"/>
          <w:szCs w:val="20"/>
        </w:rPr>
        <w:t xml:space="preserve"> ≤ floor ( N</w:t>
      </w:r>
      <w:r w:rsidRPr="00ED26D8">
        <w:rPr>
          <w:color w:val="353630"/>
          <w:kern w:val="24"/>
          <w:position w:val="-5"/>
          <w:sz w:val="20"/>
          <w:szCs w:val="20"/>
          <w:vertAlign w:val="subscript"/>
        </w:rPr>
        <w:t>RB</w:t>
      </w:r>
      <w:r w:rsidRPr="00ED26D8">
        <w:rPr>
          <w:color w:val="353630"/>
          <w:kern w:val="24"/>
          <w:sz w:val="20"/>
          <w:szCs w:val="20"/>
        </w:rPr>
        <w:t xml:space="preserve"> / [( ceil [ (N</w:t>
      </w:r>
      <w:r w:rsidRPr="00ED26D8">
        <w:rPr>
          <w:color w:val="353630"/>
          <w:kern w:val="24"/>
          <w:position w:val="-5"/>
          <w:sz w:val="20"/>
          <w:szCs w:val="20"/>
          <w:vertAlign w:val="subscript"/>
        </w:rPr>
        <w:t>RB</w:t>
      </w:r>
      <w:r w:rsidRPr="00ED26D8">
        <w:rPr>
          <w:color w:val="353630"/>
          <w:kern w:val="24"/>
          <w:sz w:val="20"/>
          <w:szCs w:val="20"/>
        </w:rPr>
        <w:t xml:space="preserve"> - ((N</w:t>
      </w:r>
      <w:r w:rsidRPr="00ED26D8">
        <w:rPr>
          <w:color w:val="353630"/>
          <w:kern w:val="24"/>
          <w:position w:val="-5"/>
          <w:sz w:val="20"/>
          <w:szCs w:val="20"/>
          <w:vertAlign w:val="subscript"/>
        </w:rPr>
        <w:t>RB</w:t>
      </w:r>
      <w:r w:rsidRPr="00ED26D8">
        <w:rPr>
          <w:color w:val="353630"/>
          <w:kern w:val="24"/>
          <w:sz w:val="20"/>
          <w:szCs w:val="20"/>
        </w:rPr>
        <w:t xml:space="preserve"> + RB</w:t>
      </w:r>
      <w:r w:rsidRPr="00ED26D8">
        <w:rPr>
          <w:color w:val="353630"/>
          <w:kern w:val="24"/>
          <w:position w:val="-5"/>
          <w:sz w:val="20"/>
          <w:szCs w:val="20"/>
          <w:vertAlign w:val="subscript"/>
        </w:rPr>
        <w:t>Ext,Low</w:t>
      </w:r>
      <w:r w:rsidRPr="00ED26D8">
        <w:rPr>
          <w:color w:val="353630"/>
          <w:kern w:val="24"/>
          <w:sz w:val="20"/>
          <w:szCs w:val="20"/>
        </w:rPr>
        <w:t>)*2/3)) / ((N</w:t>
      </w:r>
      <w:r w:rsidRPr="00ED26D8">
        <w:rPr>
          <w:color w:val="353630"/>
          <w:kern w:val="24"/>
          <w:position w:val="-5"/>
          <w:sz w:val="20"/>
          <w:szCs w:val="20"/>
          <w:vertAlign w:val="subscript"/>
        </w:rPr>
        <w:t>RB</w:t>
      </w:r>
      <w:r w:rsidRPr="00ED26D8">
        <w:rPr>
          <w:color w:val="353630"/>
          <w:kern w:val="24"/>
          <w:sz w:val="20"/>
          <w:szCs w:val="20"/>
        </w:rPr>
        <w:t xml:space="preserve"> + RB</w:t>
      </w:r>
      <w:r w:rsidRPr="00ED26D8">
        <w:rPr>
          <w:color w:val="353630"/>
          <w:kern w:val="24"/>
          <w:position w:val="-5"/>
          <w:sz w:val="20"/>
          <w:szCs w:val="20"/>
          <w:vertAlign w:val="subscript"/>
        </w:rPr>
        <w:t>Ext,Low</w:t>
      </w:r>
      <w:r w:rsidRPr="00ED26D8">
        <w:rPr>
          <w:color w:val="353630"/>
          <w:kern w:val="24"/>
          <w:sz w:val="20"/>
          <w:szCs w:val="20"/>
        </w:rPr>
        <w:t>)*2/3) ]) + ( ceil [(N</w:t>
      </w:r>
      <w:r w:rsidRPr="00ED26D8">
        <w:rPr>
          <w:color w:val="353630"/>
          <w:kern w:val="24"/>
          <w:position w:val="-5"/>
          <w:sz w:val="20"/>
          <w:szCs w:val="20"/>
          <w:vertAlign w:val="subscript"/>
        </w:rPr>
        <w:t>RB</w:t>
      </w:r>
      <w:r w:rsidRPr="00ED26D8">
        <w:rPr>
          <w:color w:val="353630"/>
          <w:kern w:val="24"/>
          <w:sz w:val="20"/>
          <w:szCs w:val="20"/>
        </w:rPr>
        <w:t xml:space="preserve"> – ((N</w:t>
      </w:r>
      <w:r w:rsidRPr="00ED26D8">
        <w:rPr>
          <w:color w:val="353630"/>
          <w:kern w:val="24"/>
          <w:position w:val="-5"/>
          <w:sz w:val="20"/>
          <w:szCs w:val="20"/>
          <w:vertAlign w:val="subscript"/>
        </w:rPr>
        <w:t>RB</w:t>
      </w:r>
      <w:r w:rsidRPr="00ED26D8">
        <w:rPr>
          <w:color w:val="353630"/>
          <w:kern w:val="24"/>
          <w:sz w:val="20"/>
          <w:szCs w:val="20"/>
        </w:rPr>
        <w:t xml:space="preserve"> + RB</w:t>
      </w:r>
      <w:r w:rsidRPr="00ED26D8">
        <w:rPr>
          <w:color w:val="353630"/>
          <w:kern w:val="24"/>
          <w:position w:val="-5"/>
          <w:sz w:val="20"/>
          <w:szCs w:val="20"/>
          <w:vertAlign w:val="subscript"/>
        </w:rPr>
        <w:t>Ext,High</w:t>
      </w:r>
      <w:r w:rsidRPr="00ED26D8">
        <w:rPr>
          <w:color w:val="353630"/>
          <w:kern w:val="24"/>
          <w:sz w:val="20"/>
          <w:szCs w:val="20"/>
        </w:rPr>
        <w:t>)*2/3)) / ((N</w:t>
      </w:r>
      <w:r w:rsidRPr="00ED26D8">
        <w:rPr>
          <w:color w:val="353630"/>
          <w:kern w:val="24"/>
          <w:position w:val="-5"/>
          <w:sz w:val="20"/>
          <w:szCs w:val="20"/>
          <w:vertAlign w:val="subscript"/>
        </w:rPr>
        <w:t>RB</w:t>
      </w:r>
      <w:r w:rsidRPr="00ED26D8">
        <w:rPr>
          <w:color w:val="353630"/>
          <w:kern w:val="24"/>
          <w:sz w:val="20"/>
          <w:szCs w:val="20"/>
        </w:rPr>
        <w:t xml:space="preserve"> + RB</w:t>
      </w:r>
      <w:r w:rsidRPr="00ED26D8">
        <w:rPr>
          <w:color w:val="353630"/>
          <w:kern w:val="24"/>
          <w:position w:val="-5"/>
          <w:sz w:val="20"/>
          <w:szCs w:val="20"/>
          <w:vertAlign w:val="subscript"/>
        </w:rPr>
        <w:t>Ext,High</w:t>
      </w:r>
      <w:r w:rsidRPr="00ED26D8">
        <w:rPr>
          <w:color w:val="353630"/>
          <w:kern w:val="24"/>
          <w:sz w:val="20"/>
          <w:szCs w:val="20"/>
        </w:rPr>
        <w:t>)*2/3) ] ) + 1 ] )</w:t>
      </w:r>
    </w:p>
    <w:p w14:paraId="46BF433A" w14:textId="20C968EA" w:rsidR="003D2ACA" w:rsidRPr="002F582B" w:rsidRDefault="00AA6899" w:rsidP="002F582B">
      <w:pPr>
        <w:pStyle w:val="Web"/>
        <w:spacing w:before="120" w:beforeAutospacing="0" w:after="120" w:afterAutospacing="0" w:line="216" w:lineRule="auto"/>
        <w:ind w:left="1680"/>
        <w:rPr>
          <w:rFonts w:eastAsia="DengXian"/>
          <w:color w:val="353630"/>
          <w:kern w:val="2"/>
          <w:sz w:val="20"/>
          <w:szCs w:val="20"/>
        </w:rPr>
      </w:pPr>
      <w:r w:rsidRPr="00ED26D8">
        <w:rPr>
          <w:rFonts w:eastAsia="DengXian"/>
          <w:color w:val="353630"/>
          <w:kern w:val="2"/>
          <w:sz w:val="20"/>
          <w:szCs w:val="20"/>
        </w:rPr>
        <w:t>where max() indicates the largest value of all arguments and floor(x) is the greatest integer less than or equal to x.</w:t>
      </w:r>
    </w:p>
    <w:p w14:paraId="7C3C994A" w14:textId="14A6AA96" w:rsidR="00FF0E3E" w:rsidRPr="00E9578F" w:rsidRDefault="00FF0E3E" w:rsidP="00E9578F">
      <w:pPr>
        <w:spacing w:before="120" w:after="120"/>
        <w:rPr>
          <w:b/>
          <w:bCs/>
          <w:sz w:val="20"/>
          <w:szCs w:val="20"/>
        </w:rPr>
      </w:pPr>
      <w:r w:rsidRPr="004A34B4">
        <w:rPr>
          <w:b/>
          <w:bCs/>
          <w:sz w:val="20"/>
          <w:szCs w:val="20"/>
          <w:u w:val="single"/>
        </w:rPr>
        <w:t xml:space="preserve">Proposal </w:t>
      </w:r>
      <w:r w:rsidR="002F582B">
        <w:rPr>
          <w:b/>
          <w:bCs/>
          <w:sz w:val="20"/>
          <w:szCs w:val="20"/>
          <w:u w:val="single"/>
        </w:rPr>
        <w:t>6</w:t>
      </w:r>
      <w:r w:rsidRPr="004A34B4">
        <w:rPr>
          <w:b/>
          <w:bCs/>
          <w:sz w:val="20"/>
          <w:szCs w:val="20"/>
        </w:rPr>
        <w:t xml:space="preserve">: </w:t>
      </w:r>
      <w:r w:rsidR="00DE715E">
        <w:rPr>
          <w:b/>
          <w:bCs/>
          <w:sz w:val="20"/>
          <w:szCs w:val="20"/>
        </w:rPr>
        <w:t>C</w:t>
      </w:r>
      <w:r w:rsidR="00EB6659" w:rsidRPr="004A34B4">
        <w:rPr>
          <w:b/>
          <w:bCs/>
          <w:sz w:val="20"/>
          <w:szCs w:val="20"/>
        </w:rPr>
        <w:t xml:space="preserve">onsider the </w:t>
      </w:r>
      <w:r w:rsidR="00DE715E">
        <w:rPr>
          <w:b/>
          <w:bCs/>
          <w:sz w:val="20"/>
          <w:szCs w:val="20"/>
        </w:rPr>
        <w:t xml:space="preserve">example </w:t>
      </w:r>
      <w:r w:rsidR="00EB6659" w:rsidRPr="004A34B4">
        <w:rPr>
          <w:b/>
          <w:bCs/>
          <w:sz w:val="20"/>
          <w:szCs w:val="20"/>
        </w:rPr>
        <w:t xml:space="preserve">spec changes in this section as a starting point for </w:t>
      </w:r>
      <w:r w:rsidR="00DE715E">
        <w:rPr>
          <w:b/>
          <w:bCs/>
          <w:sz w:val="20"/>
          <w:szCs w:val="20"/>
        </w:rPr>
        <w:t>modification to the MPR section of TS 38.101-1</w:t>
      </w:r>
      <w:r w:rsidR="00EB6659" w:rsidRPr="004A34B4">
        <w:rPr>
          <w:b/>
          <w:bCs/>
          <w:sz w:val="20"/>
          <w:szCs w:val="20"/>
        </w:rPr>
        <w:t xml:space="preserve">. </w:t>
      </w:r>
    </w:p>
    <w:p w14:paraId="0A97ED34" w14:textId="77777777" w:rsidR="00433CC4" w:rsidRDefault="00433CC4" w:rsidP="0040594F">
      <w:pPr>
        <w:jc w:val="both"/>
        <w:rPr>
          <w:rFonts w:eastAsiaTheme="minorEastAsia"/>
          <w:sz w:val="20"/>
          <w:szCs w:val="20"/>
        </w:rPr>
      </w:pPr>
    </w:p>
    <w:p w14:paraId="6CDE563C" w14:textId="009C8712" w:rsidR="00433CC4" w:rsidRPr="00433CC4" w:rsidRDefault="00433CC4" w:rsidP="0040594F">
      <w:pPr>
        <w:jc w:val="both"/>
        <w:rPr>
          <w:rFonts w:eastAsiaTheme="minorEastAsia"/>
          <w:b/>
          <w:bCs/>
          <w:sz w:val="20"/>
          <w:szCs w:val="20"/>
          <w:u w:val="single"/>
        </w:rPr>
      </w:pPr>
      <w:r w:rsidRPr="00433CC4">
        <w:rPr>
          <w:rFonts w:eastAsiaTheme="minorEastAsia"/>
          <w:b/>
          <w:bCs/>
          <w:sz w:val="20"/>
          <w:szCs w:val="20"/>
          <w:u w:val="single"/>
        </w:rPr>
        <w:t>Network-UE signalling aspects</w:t>
      </w:r>
    </w:p>
    <w:p w14:paraId="49A5CE11" w14:textId="77777777" w:rsidR="00B2086E" w:rsidRDefault="00B2086E" w:rsidP="0040594F">
      <w:pPr>
        <w:jc w:val="both"/>
        <w:rPr>
          <w:rFonts w:eastAsiaTheme="minorEastAsia"/>
          <w:sz w:val="20"/>
          <w:szCs w:val="20"/>
        </w:rPr>
      </w:pPr>
      <w:r>
        <w:rPr>
          <w:rFonts w:eastAsiaTheme="minorEastAsia"/>
          <w:sz w:val="20"/>
          <w:szCs w:val="20"/>
        </w:rPr>
        <w:t xml:space="preserve">It is important to quickly identify what sort of network-UE interactions are needed and inform RAN2 before the end of this quarter, given that RAN2 will functionally freeze RRC in September this year. </w:t>
      </w:r>
    </w:p>
    <w:p w14:paraId="28028C22" w14:textId="77777777" w:rsidR="00B2086E" w:rsidRDefault="00B2086E" w:rsidP="0040594F">
      <w:pPr>
        <w:jc w:val="both"/>
        <w:rPr>
          <w:rFonts w:eastAsiaTheme="minorEastAsia"/>
          <w:sz w:val="20"/>
          <w:szCs w:val="20"/>
        </w:rPr>
      </w:pPr>
    </w:p>
    <w:p w14:paraId="114A28F1" w14:textId="78DF4261" w:rsidR="00FF2B9E" w:rsidRDefault="00FF2B9E" w:rsidP="0040594F">
      <w:pPr>
        <w:jc w:val="both"/>
        <w:rPr>
          <w:rFonts w:eastAsiaTheme="minorEastAsia"/>
          <w:sz w:val="20"/>
          <w:szCs w:val="20"/>
        </w:rPr>
      </w:pPr>
      <w:r>
        <w:rPr>
          <w:rFonts w:eastAsiaTheme="minorEastAsia"/>
          <w:sz w:val="20"/>
          <w:szCs w:val="20"/>
        </w:rPr>
        <w:t xml:space="preserve">There are some different potential motivations for network to UE signalling, and in past meetings they have been somewhat bundled together in discussions. We believe it would be best to separate them. </w:t>
      </w:r>
    </w:p>
    <w:p w14:paraId="6499FE56" w14:textId="77777777" w:rsidR="00FF2B9E" w:rsidRDefault="00FF2B9E" w:rsidP="0040594F">
      <w:pPr>
        <w:jc w:val="both"/>
        <w:rPr>
          <w:rFonts w:eastAsiaTheme="minorEastAsia"/>
          <w:sz w:val="20"/>
          <w:szCs w:val="20"/>
        </w:rPr>
      </w:pPr>
    </w:p>
    <w:p w14:paraId="384745A8" w14:textId="09EEA042" w:rsidR="00FF2B9E" w:rsidRDefault="00FF2B9E" w:rsidP="0040594F">
      <w:pPr>
        <w:jc w:val="both"/>
        <w:rPr>
          <w:rFonts w:eastAsiaTheme="minorEastAsia"/>
          <w:sz w:val="20"/>
          <w:szCs w:val="20"/>
        </w:rPr>
      </w:pPr>
      <w:r>
        <w:rPr>
          <w:rFonts w:eastAsiaTheme="minorEastAsia"/>
          <w:sz w:val="20"/>
          <w:szCs w:val="20"/>
        </w:rPr>
        <w:t xml:space="preserve">Potential </w:t>
      </w:r>
      <w:r w:rsidR="00185FC2">
        <w:rPr>
          <w:rFonts w:eastAsiaTheme="minorEastAsia"/>
          <w:sz w:val="20"/>
          <w:szCs w:val="20"/>
        </w:rPr>
        <w:t xml:space="preserve">Motivations (1,2,3) </w:t>
      </w:r>
      <w:r>
        <w:rPr>
          <w:rFonts w:eastAsiaTheme="minorEastAsia"/>
          <w:sz w:val="20"/>
          <w:szCs w:val="20"/>
        </w:rPr>
        <w:t>are:</w:t>
      </w:r>
    </w:p>
    <w:p w14:paraId="56CAAD98" w14:textId="77777777" w:rsidR="00756F97" w:rsidRDefault="002372A1" w:rsidP="00263B0C">
      <w:pPr>
        <w:pStyle w:val="af4"/>
        <w:numPr>
          <w:ilvl w:val="0"/>
          <w:numId w:val="6"/>
        </w:numPr>
        <w:jc w:val="both"/>
        <w:rPr>
          <w:rFonts w:eastAsiaTheme="minorEastAsia"/>
          <w:sz w:val="20"/>
          <w:szCs w:val="20"/>
        </w:rPr>
      </w:pPr>
      <w:r>
        <w:rPr>
          <w:rFonts w:eastAsiaTheme="minorEastAsia"/>
          <w:sz w:val="20"/>
          <w:szCs w:val="20"/>
        </w:rPr>
        <w:t>To indicate to the UE that the MNO permits the application of relaxed OOBE in its spectrum block. This may be needed due to any geographically specific regulatory conditions not allowing the relaxed OOBE, or it may just be because the operator has some concern about the UE applying IBE requirement levels instead of OOBE outside of its CBW but inside the operator’s spectrum block.</w:t>
      </w:r>
      <w:r w:rsidR="009F47F1">
        <w:rPr>
          <w:rFonts w:eastAsiaTheme="minorEastAsia"/>
          <w:sz w:val="20"/>
          <w:szCs w:val="20"/>
        </w:rPr>
        <w:t xml:space="preserve"> </w:t>
      </w:r>
    </w:p>
    <w:p w14:paraId="14C9B3A9" w14:textId="383CB9FF" w:rsidR="009F47F1" w:rsidRPr="009F47F1" w:rsidRDefault="009F47F1" w:rsidP="003B1032">
      <w:pPr>
        <w:pStyle w:val="af4"/>
        <w:spacing w:before="120"/>
        <w:ind w:left="357"/>
        <w:contextualSpacing w:val="0"/>
        <w:jc w:val="both"/>
        <w:rPr>
          <w:rFonts w:eastAsiaTheme="minorEastAsia"/>
          <w:sz w:val="20"/>
          <w:szCs w:val="20"/>
        </w:rPr>
      </w:pPr>
      <w:r w:rsidRPr="009F47F1">
        <w:rPr>
          <w:rFonts w:eastAsiaTheme="minorEastAsia"/>
          <w:b/>
          <w:bCs/>
          <w:sz w:val="20"/>
          <w:szCs w:val="20"/>
          <w:u w:val="single"/>
        </w:rPr>
        <w:t>Our view</w:t>
      </w:r>
      <w:r w:rsidRPr="009F47F1">
        <w:rPr>
          <w:rFonts w:eastAsiaTheme="minorEastAsia"/>
          <w:b/>
          <w:bCs/>
          <w:sz w:val="20"/>
          <w:szCs w:val="20"/>
        </w:rPr>
        <w:t>: This makes sense and de-risks deployment</w:t>
      </w:r>
      <w:r w:rsidR="00B2086E">
        <w:rPr>
          <w:rFonts w:eastAsiaTheme="minorEastAsia"/>
          <w:b/>
          <w:bCs/>
          <w:sz w:val="20"/>
          <w:szCs w:val="20"/>
        </w:rPr>
        <w:t>/adoption</w:t>
      </w:r>
      <w:r w:rsidRPr="009F47F1">
        <w:rPr>
          <w:rFonts w:eastAsiaTheme="minorEastAsia"/>
          <w:b/>
          <w:bCs/>
          <w:sz w:val="20"/>
          <w:szCs w:val="20"/>
        </w:rPr>
        <w:t xml:space="preserve"> of the feature.</w:t>
      </w:r>
    </w:p>
    <w:p w14:paraId="3C0BF007" w14:textId="1E54E17C" w:rsidR="00756F97" w:rsidRPr="00756F97" w:rsidRDefault="00104E1D" w:rsidP="00263B0C">
      <w:pPr>
        <w:pStyle w:val="af4"/>
        <w:numPr>
          <w:ilvl w:val="0"/>
          <w:numId w:val="6"/>
        </w:numPr>
        <w:spacing w:before="120"/>
        <w:ind w:left="357" w:hanging="357"/>
        <w:contextualSpacing w:val="0"/>
        <w:jc w:val="both"/>
        <w:rPr>
          <w:rFonts w:eastAsiaTheme="minorEastAsia"/>
          <w:sz w:val="20"/>
          <w:szCs w:val="20"/>
        </w:rPr>
      </w:pPr>
      <w:r>
        <w:rPr>
          <w:rFonts w:eastAsiaTheme="minorEastAsia"/>
          <w:sz w:val="20"/>
          <w:szCs w:val="20"/>
        </w:rPr>
        <w:t xml:space="preserve">There </w:t>
      </w:r>
      <w:r w:rsidRPr="00104E1D">
        <w:rPr>
          <w:rFonts w:eastAsiaTheme="minorEastAsia"/>
          <w:sz w:val="20"/>
          <w:szCs w:val="20"/>
          <w:u w:val="single"/>
        </w:rPr>
        <w:t>may</w:t>
      </w:r>
      <w:r>
        <w:rPr>
          <w:rFonts w:eastAsiaTheme="minorEastAsia"/>
          <w:sz w:val="20"/>
          <w:szCs w:val="20"/>
        </w:rPr>
        <w:t xml:space="preserve"> also be regulatory or MNO operational reasons as to why a symmetrical shift may not be permitted, even if the device is not operating right at the edge of the BS CBW, e.g. some specific RAN sharing scenario with common Base Station bandwidth applying to both operators, but with separate spectrum blocks.</w:t>
      </w:r>
    </w:p>
    <w:p w14:paraId="48AB2DED" w14:textId="56C0FB4B" w:rsidR="002372A1" w:rsidRDefault="009F47F1" w:rsidP="003B1032">
      <w:pPr>
        <w:pStyle w:val="af4"/>
        <w:spacing w:before="120"/>
        <w:ind w:left="426"/>
        <w:contextualSpacing w:val="0"/>
        <w:jc w:val="both"/>
        <w:rPr>
          <w:rFonts w:eastAsiaTheme="minorEastAsia"/>
          <w:sz w:val="20"/>
          <w:szCs w:val="20"/>
        </w:rPr>
      </w:pPr>
      <w:r>
        <w:rPr>
          <w:rFonts w:eastAsiaTheme="minorEastAsia"/>
          <w:b/>
          <w:bCs/>
          <w:sz w:val="20"/>
          <w:szCs w:val="20"/>
          <w:u w:val="single"/>
        </w:rPr>
        <w:t>Our view</w:t>
      </w:r>
      <w:r>
        <w:rPr>
          <w:rFonts w:eastAsiaTheme="minorEastAsia"/>
          <w:b/>
          <w:bCs/>
          <w:sz w:val="20"/>
          <w:szCs w:val="20"/>
        </w:rPr>
        <w:t xml:space="preserve">: </w:t>
      </w:r>
      <w:r w:rsidR="00546719">
        <w:rPr>
          <w:rFonts w:eastAsiaTheme="minorEastAsia"/>
          <w:b/>
          <w:bCs/>
          <w:sz w:val="20"/>
          <w:szCs w:val="20"/>
        </w:rPr>
        <w:t xml:space="preserve">We think it would be </w:t>
      </w:r>
      <w:r w:rsidR="00BC0A9B">
        <w:rPr>
          <w:rFonts w:eastAsiaTheme="minorEastAsia"/>
          <w:b/>
          <w:bCs/>
          <w:sz w:val="20"/>
          <w:szCs w:val="20"/>
        </w:rPr>
        <w:t>more appropriate</w:t>
      </w:r>
      <w:r w:rsidR="00546719">
        <w:rPr>
          <w:rFonts w:eastAsiaTheme="minorEastAsia"/>
          <w:b/>
          <w:bCs/>
          <w:sz w:val="20"/>
          <w:szCs w:val="20"/>
        </w:rPr>
        <w:t xml:space="preserve"> if the UE could rely on the network to indicate </w:t>
      </w:r>
      <w:r w:rsidR="00B2086E">
        <w:rPr>
          <w:rFonts w:eastAsiaTheme="minorEastAsia"/>
          <w:b/>
          <w:bCs/>
          <w:sz w:val="20"/>
          <w:szCs w:val="20"/>
        </w:rPr>
        <w:t>to UE what sort of shift would be permitted</w:t>
      </w:r>
      <w:r w:rsidR="00BC0A9B">
        <w:rPr>
          <w:rFonts w:eastAsiaTheme="minorEastAsia"/>
          <w:b/>
          <w:bCs/>
          <w:sz w:val="20"/>
          <w:szCs w:val="20"/>
        </w:rPr>
        <w:t>, as the network operator is more aware of the operating environment</w:t>
      </w:r>
      <w:r w:rsidR="00756F97">
        <w:rPr>
          <w:rFonts w:eastAsiaTheme="minorEastAsia"/>
          <w:b/>
          <w:bCs/>
          <w:sz w:val="20"/>
          <w:szCs w:val="20"/>
        </w:rPr>
        <w:t>.</w:t>
      </w:r>
      <w:r w:rsidR="00B2086E">
        <w:rPr>
          <w:rFonts w:eastAsiaTheme="minorEastAsia"/>
          <w:b/>
          <w:bCs/>
          <w:sz w:val="20"/>
          <w:szCs w:val="20"/>
        </w:rPr>
        <w:t xml:space="preserve"> </w:t>
      </w:r>
      <w:r w:rsidR="00922048">
        <w:rPr>
          <w:rFonts w:eastAsiaTheme="minorEastAsia"/>
          <w:b/>
          <w:bCs/>
          <w:sz w:val="20"/>
          <w:szCs w:val="20"/>
        </w:rPr>
        <w:t>T</w:t>
      </w:r>
      <w:r w:rsidR="00B2086E">
        <w:rPr>
          <w:rFonts w:eastAsiaTheme="minorEastAsia"/>
          <w:b/>
          <w:bCs/>
          <w:sz w:val="20"/>
          <w:szCs w:val="20"/>
        </w:rPr>
        <w:t xml:space="preserve">he UE could also </w:t>
      </w:r>
      <w:r w:rsidR="00922048">
        <w:rPr>
          <w:rFonts w:eastAsiaTheme="minorEastAsia"/>
          <w:b/>
          <w:bCs/>
          <w:sz w:val="20"/>
          <w:szCs w:val="20"/>
        </w:rPr>
        <w:t xml:space="preserve">additionally </w:t>
      </w:r>
      <w:r w:rsidR="00B2086E">
        <w:rPr>
          <w:rFonts w:eastAsiaTheme="minorEastAsia"/>
          <w:b/>
          <w:bCs/>
          <w:sz w:val="20"/>
          <w:szCs w:val="20"/>
        </w:rPr>
        <w:t>verify that it is adhering to regulations.</w:t>
      </w:r>
    </w:p>
    <w:p w14:paraId="0A8C7124" w14:textId="77777777" w:rsidR="00756F97" w:rsidRDefault="002372A1" w:rsidP="00263B0C">
      <w:pPr>
        <w:pStyle w:val="af4"/>
        <w:numPr>
          <w:ilvl w:val="0"/>
          <w:numId w:val="6"/>
        </w:numPr>
        <w:spacing w:before="120"/>
        <w:ind w:left="357" w:hanging="357"/>
        <w:contextualSpacing w:val="0"/>
        <w:jc w:val="both"/>
        <w:rPr>
          <w:rFonts w:eastAsiaTheme="minorEastAsia"/>
          <w:sz w:val="20"/>
          <w:szCs w:val="20"/>
        </w:rPr>
      </w:pPr>
      <w:r>
        <w:rPr>
          <w:rFonts w:eastAsiaTheme="minorEastAsia"/>
          <w:sz w:val="20"/>
          <w:szCs w:val="20"/>
        </w:rPr>
        <w:t xml:space="preserve">To indicate exactly what is the level of extension permitted by the operator. This would assume that there is some network configurability of this relaxation. </w:t>
      </w:r>
    </w:p>
    <w:p w14:paraId="5CC36D05" w14:textId="59F6FFB4" w:rsidR="00E9578F" w:rsidRPr="00310EAC" w:rsidRDefault="009F47F1" w:rsidP="00922048">
      <w:pPr>
        <w:pStyle w:val="af4"/>
        <w:spacing w:before="120"/>
        <w:ind w:left="357"/>
        <w:contextualSpacing w:val="0"/>
        <w:jc w:val="both"/>
        <w:rPr>
          <w:rFonts w:eastAsiaTheme="minorEastAsia"/>
          <w:b/>
          <w:bCs/>
          <w:sz w:val="20"/>
          <w:szCs w:val="20"/>
        </w:rPr>
      </w:pPr>
      <w:r w:rsidRPr="00104E1D">
        <w:rPr>
          <w:rFonts w:eastAsiaTheme="minorEastAsia"/>
          <w:b/>
          <w:bCs/>
          <w:sz w:val="20"/>
          <w:szCs w:val="20"/>
          <w:u w:val="single"/>
        </w:rPr>
        <w:t>Our view</w:t>
      </w:r>
      <w:r w:rsidRPr="00104E1D">
        <w:rPr>
          <w:rFonts w:eastAsiaTheme="minorEastAsia"/>
          <w:b/>
          <w:bCs/>
          <w:sz w:val="20"/>
          <w:szCs w:val="20"/>
        </w:rPr>
        <w:t xml:space="preserve">: </w:t>
      </w:r>
      <w:r w:rsidR="00546719" w:rsidRPr="00104E1D">
        <w:rPr>
          <w:rFonts w:eastAsiaTheme="minorEastAsia"/>
          <w:b/>
          <w:bCs/>
          <w:sz w:val="20"/>
          <w:szCs w:val="20"/>
        </w:rPr>
        <w:t>If such configuration possibilities are limited, then this it could be acceptable</w:t>
      </w:r>
      <w:r w:rsidRPr="00104E1D">
        <w:rPr>
          <w:rFonts w:eastAsiaTheme="minorEastAsia"/>
          <w:b/>
          <w:bCs/>
          <w:sz w:val="20"/>
          <w:szCs w:val="20"/>
        </w:rPr>
        <w:t>.</w:t>
      </w:r>
      <w:r w:rsidR="00104E1D">
        <w:rPr>
          <w:rFonts w:eastAsiaTheme="minorEastAsia"/>
          <w:b/>
          <w:bCs/>
          <w:sz w:val="20"/>
          <w:szCs w:val="20"/>
        </w:rPr>
        <w:t xml:space="preserve"> </w:t>
      </w:r>
      <w:r w:rsidR="00310EAC">
        <w:rPr>
          <w:rFonts w:eastAsiaTheme="minorEastAsia"/>
          <w:b/>
          <w:bCs/>
          <w:sz w:val="20"/>
          <w:szCs w:val="20"/>
        </w:rPr>
        <w:t>T</w:t>
      </w:r>
      <w:r w:rsidR="00104E1D" w:rsidRPr="00310EAC">
        <w:rPr>
          <w:rFonts w:eastAsiaTheme="minorEastAsia"/>
          <w:b/>
          <w:bCs/>
          <w:sz w:val="20"/>
          <w:szCs w:val="20"/>
        </w:rPr>
        <w:t xml:space="preserve">he UE could also </w:t>
      </w:r>
      <w:r w:rsidR="00922048">
        <w:rPr>
          <w:rFonts w:eastAsiaTheme="minorEastAsia"/>
          <w:b/>
          <w:bCs/>
          <w:sz w:val="20"/>
          <w:szCs w:val="20"/>
        </w:rPr>
        <w:t xml:space="preserve">additionally </w:t>
      </w:r>
      <w:r w:rsidR="00104E1D" w:rsidRPr="00310EAC">
        <w:rPr>
          <w:rFonts w:eastAsiaTheme="minorEastAsia"/>
          <w:b/>
          <w:bCs/>
          <w:sz w:val="20"/>
          <w:szCs w:val="20"/>
        </w:rPr>
        <w:t>verify that it is adhering to regulations.</w:t>
      </w:r>
    </w:p>
    <w:p w14:paraId="50D971A2" w14:textId="6D227874" w:rsidR="00852E69" w:rsidRDefault="00BC0A9B" w:rsidP="00852E69">
      <w:pPr>
        <w:spacing w:before="120"/>
        <w:jc w:val="both"/>
        <w:rPr>
          <w:sz w:val="20"/>
          <w:szCs w:val="20"/>
        </w:rPr>
      </w:pPr>
      <w:r>
        <w:rPr>
          <w:sz w:val="20"/>
          <w:szCs w:val="20"/>
        </w:rPr>
        <w:t>With regards to the type of signalling,</w:t>
      </w:r>
      <w:r w:rsidR="00852E69">
        <w:rPr>
          <w:sz w:val="20"/>
          <w:szCs w:val="20"/>
        </w:rPr>
        <w:t xml:space="preserve"> we propose </w:t>
      </w:r>
      <w:r>
        <w:rPr>
          <w:sz w:val="20"/>
          <w:szCs w:val="20"/>
        </w:rPr>
        <w:t xml:space="preserve">to define </w:t>
      </w:r>
      <w:r w:rsidR="00852E69">
        <w:rPr>
          <w:sz w:val="20"/>
          <w:szCs w:val="20"/>
        </w:rPr>
        <w:t xml:space="preserve">UE specific </w:t>
      </w:r>
      <w:r>
        <w:rPr>
          <w:sz w:val="20"/>
          <w:szCs w:val="20"/>
        </w:rPr>
        <w:t xml:space="preserve">RRC </w:t>
      </w:r>
      <w:r w:rsidR="00852E69">
        <w:rPr>
          <w:sz w:val="20"/>
          <w:szCs w:val="20"/>
        </w:rPr>
        <w:t>signalling because:</w:t>
      </w:r>
    </w:p>
    <w:p w14:paraId="236730B9" w14:textId="4A8B6129" w:rsidR="00852E69" w:rsidRDefault="00852E69" w:rsidP="00263B0C">
      <w:pPr>
        <w:pStyle w:val="af4"/>
        <w:numPr>
          <w:ilvl w:val="0"/>
          <w:numId w:val="12"/>
        </w:numPr>
        <w:spacing w:before="120"/>
        <w:jc w:val="both"/>
        <w:rPr>
          <w:sz w:val="20"/>
          <w:szCs w:val="20"/>
        </w:rPr>
      </w:pPr>
      <w:r>
        <w:rPr>
          <w:sz w:val="20"/>
          <w:szCs w:val="20"/>
        </w:rPr>
        <w:t>Different UEs may be operating in different parts of the Base Station bandwidth.</w:t>
      </w:r>
    </w:p>
    <w:p w14:paraId="2EFC09F3" w14:textId="72850D53" w:rsidR="00852E69" w:rsidRDefault="00852E69" w:rsidP="00263B0C">
      <w:pPr>
        <w:pStyle w:val="af4"/>
        <w:numPr>
          <w:ilvl w:val="0"/>
          <w:numId w:val="12"/>
        </w:numPr>
        <w:spacing w:before="120"/>
        <w:jc w:val="both"/>
        <w:rPr>
          <w:sz w:val="20"/>
          <w:szCs w:val="20"/>
        </w:rPr>
      </w:pPr>
      <w:r>
        <w:rPr>
          <w:sz w:val="20"/>
          <w:szCs w:val="20"/>
        </w:rPr>
        <w:t>An operator strategy may be to only allow the extension for certain UEs within its network.</w:t>
      </w:r>
    </w:p>
    <w:p w14:paraId="165F9E4B" w14:textId="4F58BCA6" w:rsidR="00852E69" w:rsidRPr="00444281" w:rsidRDefault="00444281" w:rsidP="00444281">
      <w:pPr>
        <w:spacing w:before="120"/>
        <w:jc w:val="both"/>
        <w:rPr>
          <w:sz w:val="20"/>
          <w:szCs w:val="20"/>
        </w:rPr>
      </w:pPr>
      <w:r>
        <w:rPr>
          <w:sz w:val="20"/>
          <w:szCs w:val="20"/>
        </w:rPr>
        <w:t>In the case of a multi-carrier network, the UE would not know whether the adjacent carrier is from the same operator until it was configured with CA.</w:t>
      </w:r>
    </w:p>
    <w:p w14:paraId="55C599B2" w14:textId="070AF72C" w:rsidR="00B4383C" w:rsidRPr="00E176AF" w:rsidRDefault="00E176AF" w:rsidP="004A34B4">
      <w:pPr>
        <w:spacing w:before="120" w:after="120"/>
        <w:rPr>
          <w:sz w:val="20"/>
          <w:szCs w:val="20"/>
          <w:u w:val="single"/>
        </w:rPr>
      </w:pPr>
      <w:r>
        <w:rPr>
          <w:sz w:val="20"/>
          <w:szCs w:val="20"/>
          <w:u w:val="single"/>
        </w:rPr>
        <w:t>Suggested</w:t>
      </w:r>
      <w:r w:rsidR="00B4383C" w:rsidRPr="00E176AF">
        <w:rPr>
          <w:sz w:val="20"/>
          <w:szCs w:val="20"/>
          <w:u w:val="single"/>
        </w:rPr>
        <w:t xml:space="preserve"> RRC </w:t>
      </w:r>
      <w:r w:rsidR="00716CBC" w:rsidRPr="00E176AF">
        <w:rPr>
          <w:sz w:val="20"/>
          <w:szCs w:val="20"/>
          <w:u w:val="single"/>
        </w:rPr>
        <w:t>(network to UE) signalling</w:t>
      </w:r>
      <w:r w:rsidR="00B4383C" w:rsidRPr="00E176AF">
        <w:rPr>
          <w:sz w:val="20"/>
          <w:szCs w:val="20"/>
          <w:u w:val="single"/>
        </w:rPr>
        <w:t xml:space="preserve"> concept:</w:t>
      </w:r>
    </w:p>
    <w:p w14:paraId="5CEA170B" w14:textId="38AB45AB" w:rsidR="00716CBC" w:rsidRPr="00716CBC" w:rsidRDefault="00716CBC" w:rsidP="00716CBC">
      <w:pPr>
        <w:spacing w:before="120" w:after="120"/>
        <w:rPr>
          <w:sz w:val="20"/>
          <w:szCs w:val="20"/>
        </w:rPr>
      </w:pPr>
      <w:r w:rsidRPr="00716CBC">
        <w:rPr>
          <w:sz w:val="20"/>
          <w:szCs w:val="20"/>
        </w:rPr>
        <w:t xml:space="preserve">Network to </w:t>
      </w:r>
      <w:r w:rsidR="00043021">
        <w:rPr>
          <w:sz w:val="20"/>
          <w:szCs w:val="20"/>
        </w:rPr>
        <w:t>convey</w:t>
      </w:r>
      <w:r w:rsidRPr="00716CBC">
        <w:rPr>
          <w:sz w:val="20"/>
          <w:szCs w:val="20"/>
        </w:rPr>
        <w:t xml:space="preserve"> to UE (UE specific) whether shifted OOBE is permitted</w:t>
      </w:r>
      <w:r>
        <w:rPr>
          <w:sz w:val="20"/>
          <w:szCs w:val="20"/>
        </w:rPr>
        <w:t>, and include the following additional information:</w:t>
      </w:r>
    </w:p>
    <w:p w14:paraId="115C301B" w14:textId="77777777" w:rsidR="00444281" w:rsidRPr="00444281" w:rsidRDefault="00444281" w:rsidP="00263B0C">
      <w:pPr>
        <w:pStyle w:val="af4"/>
        <w:numPr>
          <w:ilvl w:val="0"/>
          <w:numId w:val="7"/>
        </w:numPr>
        <w:spacing w:before="120" w:after="120"/>
        <w:rPr>
          <w:sz w:val="20"/>
          <w:szCs w:val="20"/>
        </w:rPr>
      </w:pPr>
      <w:r w:rsidRPr="00444281">
        <w:rPr>
          <w:sz w:val="20"/>
          <w:szCs w:val="20"/>
        </w:rPr>
        <w:t>Whether the shifted OOBE permitted is “symmetrical” or “asymmetrical”.</w:t>
      </w:r>
    </w:p>
    <w:p w14:paraId="18AE4491" w14:textId="77777777" w:rsidR="00444281" w:rsidRPr="00444281" w:rsidRDefault="00444281" w:rsidP="00263B0C">
      <w:pPr>
        <w:pStyle w:val="af4"/>
        <w:numPr>
          <w:ilvl w:val="1"/>
          <w:numId w:val="7"/>
        </w:numPr>
        <w:spacing w:before="120" w:after="120"/>
        <w:rPr>
          <w:sz w:val="20"/>
          <w:szCs w:val="20"/>
        </w:rPr>
      </w:pPr>
      <w:r w:rsidRPr="00444281">
        <w:rPr>
          <w:sz w:val="20"/>
          <w:szCs w:val="20"/>
        </w:rPr>
        <w:t>If symmetrical, default OOB shift multiplier value = 0.5</w:t>
      </w:r>
    </w:p>
    <w:p w14:paraId="70893076" w14:textId="77777777" w:rsidR="00444281" w:rsidRPr="00444281" w:rsidRDefault="00444281" w:rsidP="00263B0C">
      <w:pPr>
        <w:pStyle w:val="af4"/>
        <w:numPr>
          <w:ilvl w:val="1"/>
          <w:numId w:val="7"/>
        </w:numPr>
        <w:spacing w:before="120" w:after="120"/>
        <w:rPr>
          <w:sz w:val="20"/>
          <w:szCs w:val="20"/>
        </w:rPr>
      </w:pPr>
      <w:r w:rsidRPr="00444281">
        <w:rPr>
          <w:sz w:val="20"/>
          <w:szCs w:val="20"/>
        </w:rPr>
        <w:t xml:space="preserve">If asymmetrical, a default 0.5 shift applies on one side, and zero on the other side. At least an indication of whether the shift applies to left or right side needed here. </w:t>
      </w:r>
    </w:p>
    <w:p w14:paraId="5A150B23" w14:textId="77777777" w:rsidR="00444281" w:rsidRPr="00444281" w:rsidRDefault="00444281" w:rsidP="00263B0C">
      <w:pPr>
        <w:pStyle w:val="af4"/>
        <w:numPr>
          <w:ilvl w:val="0"/>
          <w:numId w:val="7"/>
        </w:numPr>
        <w:spacing w:before="120" w:after="120"/>
        <w:rPr>
          <w:sz w:val="20"/>
          <w:szCs w:val="20"/>
        </w:rPr>
      </w:pPr>
      <w:r w:rsidRPr="00444281">
        <w:rPr>
          <w:sz w:val="20"/>
          <w:szCs w:val="20"/>
        </w:rPr>
        <w:lastRenderedPageBreak/>
        <w:t>If more multiplier values specified, then RAN4 needs to decide whether:</w:t>
      </w:r>
    </w:p>
    <w:p w14:paraId="745929AF" w14:textId="77777777" w:rsidR="00444281" w:rsidRPr="00444281" w:rsidRDefault="00444281" w:rsidP="00263B0C">
      <w:pPr>
        <w:pStyle w:val="af4"/>
        <w:numPr>
          <w:ilvl w:val="1"/>
          <w:numId w:val="7"/>
        </w:numPr>
        <w:spacing w:before="120" w:after="120"/>
        <w:rPr>
          <w:sz w:val="20"/>
          <w:szCs w:val="20"/>
        </w:rPr>
      </w:pPr>
      <w:r w:rsidRPr="00444281">
        <w:rPr>
          <w:sz w:val="20"/>
          <w:szCs w:val="20"/>
        </w:rPr>
        <w:t>Different non-zero shifts may apply to both sides.</w:t>
      </w:r>
    </w:p>
    <w:p w14:paraId="1BA114F7" w14:textId="77777777" w:rsidR="00444281" w:rsidRDefault="00444281" w:rsidP="00263B0C">
      <w:pPr>
        <w:pStyle w:val="af4"/>
        <w:numPr>
          <w:ilvl w:val="1"/>
          <w:numId w:val="7"/>
        </w:numPr>
        <w:spacing w:before="120" w:after="120"/>
        <w:rPr>
          <w:sz w:val="20"/>
          <w:szCs w:val="20"/>
        </w:rPr>
      </w:pPr>
      <w:r w:rsidRPr="00444281">
        <w:rPr>
          <w:sz w:val="20"/>
          <w:szCs w:val="20"/>
        </w:rPr>
        <w:t>In such case, the explicit values of the shifts would need to be signalled for each side.</w:t>
      </w:r>
    </w:p>
    <w:p w14:paraId="4F3EC68C" w14:textId="77777777" w:rsidR="00444281" w:rsidRPr="00444281" w:rsidRDefault="00444281" w:rsidP="00444281">
      <w:pPr>
        <w:pStyle w:val="af4"/>
        <w:spacing w:before="120" w:after="120"/>
        <w:ind w:left="1440"/>
        <w:rPr>
          <w:sz w:val="20"/>
          <w:szCs w:val="20"/>
        </w:rPr>
      </w:pPr>
    </w:p>
    <w:p w14:paraId="50962801" w14:textId="50EB00DB" w:rsidR="00205D2C" w:rsidRPr="00205D2C" w:rsidRDefault="00E9578F" w:rsidP="00205D2C">
      <w:pPr>
        <w:spacing w:before="120" w:after="120"/>
        <w:rPr>
          <w:b/>
          <w:bCs/>
          <w:sz w:val="20"/>
          <w:szCs w:val="20"/>
        </w:rPr>
      </w:pPr>
      <w:r w:rsidRPr="00310EAC">
        <w:rPr>
          <w:b/>
          <w:bCs/>
          <w:sz w:val="20"/>
          <w:szCs w:val="20"/>
          <w:u w:val="single"/>
        </w:rPr>
        <w:t xml:space="preserve">Proposal </w:t>
      </w:r>
      <w:r w:rsidR="002F582B">
        <w:rPr>
          <w:b/>
          <w:bCs/>
          <w:sz w:val="20"/>
          <w:szCs w:val="20"/>
          <w:u w:val="single"/>
        </w:rPr>
        <w:t>7</w:t>
      </w:r>
      <w:r w:rsidR="00043021" w:rsidRPr="00310EAC">
        <w:rPr>
          <w:b/>
          <w:bCs/>
          <w:sz w:val="20"/>
          <w:szCs w:val="20"/>
        </w:rPr>
        <w:t xml:space="preserve">: </w:t>
      </w:r>
      <w:r w:rsidR="00444281">
        <w:rPr>
          <w:b/>
          <w:bCs/>
          <w:sz w:val="20"/>
          <w:szCs w:val="20"/>
        </w:rPr>
        <w:t>Request RAN2 to define</w:t>
      </w:r>
      <w:r w:rsidR="00852E69">
        <w:rPr>
          <w:b/>
          <w:bCs/>
          <w:sz w:val="20"/>
          <w:szCs w:val="20"/>
        </w:rPr>
        <w:t xml:space="preserve"> </w:t>
      </w:r>
      <w:r w:rsidR="00205D2C" w:rsidRPr="00205D2C">
        <w:rPr>
          <w:b/>
          <w:bCs/>
          <w:sz w:val="20"/>
          <w:szCs w:val="20"/>
        </w:rPr>
        <w:t>UE specific</w:t>
      </w:r>
      <w:r w:rsidR="00852E69">
        <w:rPr>
          <w:b/>
          <w:bCs/>
          <w:sz w:val="20"/>
          <w:szCs w:val="20"/>
        </w:rPr>
        <w:t xml:space="preserve"> </w:t>
      </w:r>
      <w:r w:rsidR="00444281">
        <w:rPr>
          <w:b/>
          <w:bCs/>
          <w:sz w:val="20"/>
          <w:szCs w:val="20"/>
        </w:rPr>
        <w:t xml:space="preserve">RRC </w:t>
      </w:r>
      <w:r w:rsidR="00852E69">
        <w:rPr>
          <w:b/>
          <w:bCs/>
          <w:sz w:val="20"/>
          <w:szCs w:val="20"/>
        </w:rPr>
        <w:t>signalling</w:t>
      </w:r>
      <w:r w:rsidR="00444281">
        <w:rPr>
          <w:b/>
          <w:bCs/>
          <w:sz w:val="20"/>
          <w:szCs w:val="20"/>
        </w:rPr>
        <w:t xml:space="preserve"> to indicate to the UE</w:t>
      </w:r>
      <w:r w:rsidR="00205D2C" w:rsidRPr="00205D2C">
        <w:rPr>
          <w:b/>
          <w:bCs/>
          <w:sz w:val="20"/>
          <w:szCs w:val="20"/>
        </w:rPr>
        <w:t xml:space="preserve"> whether shifted OOBE is permitted, includ</w:t>
      </w:r>
      <w:r w:rsidR="00444281">
        <w:rPr>
          <w:b/>
          <w:bCs/>
          <w:sz w:val="20"/>
          <w:szCs w:val="20"/>
        </w:rPr>
        <w:t xml:space="preserve">ing </w:t>
      </w:r>
      <w:r w:rsidR="00205D2C" w:rsidRPr="00205D2C">
        <w:rPr>
          <w:b/>
          <w:bCs/>
          <w:sz w:val="20"/>
          <w:szCs w:val="20"/>
        </w:rPr>
        <w:t>the following additional information</w:t>
      </w:r>
      <w:r w:rsidR="002F582B">
        <w:rPr>
          <w:b/>
          <w:bCs/>
          <w:sz w:val="20"/>
          <w:szCs w:val="20"/>
        </w:rPr>
        <w:t xml:space="preserve"> and RRC parameters</w:t>
      </w:r>
      <w:r w:rsidR="00205D2C" w:rsidRPr="00205D2C">
        <w:rPr>
          <w:b/>
          <w:bCs/>
          <w:sz w:val="20"/>
          <w:szCs w:val="20"/>
        </w:rPr>
        <w:t>:</w:t>
      </w:r>
    </w:p>
    <w:p w14:paraId="2B899205" w14:textId="4F7781A9" w:rsidR="00205D2C" w:rsidRPr="00205D2C" w:rsidRDefault="00205D2C" w:rsidP="00263B0C">
      <w:pPr>
        <w:pStyle w:val="af4"/>
        <w:numPr>
          <w:ilvl w:val="0"/>
          <w:numId w:val="14"/>
        </w:numPr>
        <w:spacing w:before="120" w:after="120"/>
        <w:rPr>
          <w:b/>
          <w:bCs/>
          <w:sz w:val="20"/>
          <w:szCs w:val="20"/>
        </w:rPr>
      </w:pPr>
      <w:r w:rsidRPr="00205D2C">
        <w:rPr>
          <w:b/>
          <w:bCs/>
          <w:sz w:val="20"/>
          <w:szCs w:val="20"/>
        </w:rPr>
        <w:t xml:space="preserve">Whether the shifted OOBE permitted </w:t>
      </w:r>
      <w:r w:rsidR="00444281">
        <w:rPr>
          <w:b/>
          <w:bCs/>
          <w:sz w:val="20"/>
          <w:szCs w:val="20"/>
        </w:rPr>
        <w:t>is</w:t>
      </w:r>
      <w:r w:rsidRPr="00205D2C">
        <w:rPr>
          <w:b/>
          <w:bCs/>
          <w:sz w:val="20"/>
          <w:szCs w:val="20"/>
        </w:rPr>
        <w:t xml:space="preserve"> “symmetrical” or “asymmetrical”.</w:t>
      </w:r>
    </w:p>
    <w:p w14:paraId="57B3939F" w14:textId="77777777" w:rsidR="00205D2C" w:rsidRPr="00205D2C" w:rsidRDefault="00205D2C" w:rsidP="00263B0C">
      <w:pPr>
        <w:pStyle w:val="af4"/>
        <w:numPr>
          <w:ilvl w:val="1"/>
          <w:numId w:val="14"/>
        </w:numPr>
        <w:spacing w:before="120" w:after="120"/>
        <w:rPr>
          <w:b/>
          <w:bCs/>
          <w:sz w:val="20"/>
          <w:szCs w:val="20"/>
        </w:rPr>
      </w:pPr>
      <w:r w:rsidRPr="00205D2C">
        <w:rPr>
          <w:b/>
          <w:bCs/>
          <w:sz w:val="20"/>
          <w:szCs w:val="20"/>
        </w:rPr>
        <w:t>If symmetrical, default OOB shift multiplier value = 0.5</w:t>
      </w:r>
    </w:p>
    <w:p w14:paraId="1F331162" w14:textId="16796B16" w:rsidR="00205D2C" w:rsidRPr="00205D2C" w:rsidRDefault="00205D2C" w:rsidP="00263B0C">
      <w:pPr>
        <w:pStyle w:val="af4"/>
        <w:numPr>
          <w:ilvl w:val="1"/>
          <w:numId w:val="14"/>
        </w:numPr>
        <w:spacing w:before="120" w:after="120"/>
        <w:rPr>
          <w:b/>
          <w:bCs/>
          <w:sz w:val="20"/>
          <w:szCs w:val="20"/>
        </w:rPr>
      </w:pPr>
      <w:r w:rsidRPr="00205D2C">
        <w:rPr>
          <w:b/>
          <w:bCs/>
          <w:sz w:val="20"/>
          <w:szCs w:val="20"/>
        </w:rPr>
        <w:t xml:space="preserve">If asymmetrical, </w:t>
      </w:r>
      <w:r w:rsidR="00444281">
        <w:rPr>
          <w:b/>
          <w:bCs/>
          <w:sz w:val="20"/>
          <w:szCs w:val="20"/>
        </w:rPr>
        <w:t>a default 0.5 shift applies on one side, and zero on the other side. A</w:t>
      </w:r>
      <w:r w:rsidRPr="00205D2C">
        <w:rPr>
          <w:b/>
          <w:bCs/>
          <w:sz w:val="20"/>
          <w:szCs w:val="20"/>
        </w:rPr>
        <w:t>t least an indication of whether the shift applies to left or right side needed</w:t>
      </w:r>
      <w:r w:rsidR="00444281">
        <w:rPr>
          <w:b/>
          <w:bCs/>
          <w:sz w:val="20"/>
          <w:szCs w:val="20"/>
        </w:rPr>
        <w:t xml:space="preserve"> here</w:t>
      </w:r>
      <w:r w:rsidRPr="00205D2C">
        <w:rPr>
          <w:b/>
          <w:bCs/>
          <w:sz w:val="20"/>
          <w:szCs w:val="20"/>
        </w:rPr>
        <w:t xml:space="preserve">. </w:t>
      </w:r>
    </w:p>
    <w:p w14:paraId="052E8F2F" w14:textId="77777777" w:rsidR="00205D2C" w:rsidRPr="00205D2C" w:rsidRDefault="00205D2C" w:rsidP="00263B0C">
      <w:pPr>
        <w:pStyle w:val="af4"/>
        <w:numPr>
          <w:ilvl w:val="0"/>
          <w:numId w:val="14"/>
        </w:numPr>
        <w:spacing w:before="120" w:after="120"/>
        <w:rPr>
          <w:b/>
          <w:bCs/>
          <w:sz w:val="20"/>
          <w:szCs w:val="20"/>
        </w:rPr>
      </w:pPr>
      <w:r w:rsidRPr="00205D2C">
        <w:rPr>
          <w:b/>
          <w:bCs/>
          <w:sz w:val="20"/>
          <w:szCs w:val="20"/>
        </w:rPr>
        <w:t>If more multiplier values specified, then RAN4 needs to decide whether:</w:t>
      </w:r>
    </w:p>
    <w:p w14:paraId="6637A27D" w14:textId="77777777" w:rsidR="00205D2C" w:rsidRPr="00205D2C" w:rsidRDefault="00205D2C" w:rsidP="00263B0C">
      <w:pPr>
        <w:pStyle w:val="af4"/>
        <w:numPr>
          <w:ilvl w:val="1"/>
          <w:numId w:val="14"/>
        </w:numPr>
        <w:spacing w:before="120" w:after="120"/>
        <w:rPr>
          <w:b/>
          <w:bCs/>
          <w:sz w:val="20"/>
          <w:szCs w:val="20"/>
        </w:rPr>
      </w:pPr>
      <w:r w:rsidRPr="00205D2C">
        <w:rPr>
          <w:b/>
          <w:bCs/>
          <w:sz w:val="20"/>
          <w:szCs w:val="20"/>
        </w:rPr>
        <w:t>Different non-zero shifts may apply to both sides.</w:t>
      </w:r>
    </w:p>
    <w:p w14:paraId="0D1240BA" w14:textId="5EB0D92B" w:rsidR="00043021" w:rsidRDefault="00205D2C" w:rsidP="00263B0C">
      <w:pPr>
        <w:pStyle w:val="af4"/>
        <w:numPr>
          <w:ilvl w:val="1"/>
          <w:numId w:val="14"/>
        </w:numPr>
        <w:spacing w:before="120" w:after="120"/>
        <w:rPr>
          <w:b/>
          <w:bCs/>
          <w:sz w:val="20"/>
          <w:szCs w:val="20"/>
        </w:rPr>
      </w:pPr>
      <w:r w:rsidRPr="00205D2C">
        <w:rPr>
          <w:b/>
          <w:bCs/>
          <w:sz w:val="20"/>
          <w:szCs w:val="20"/>
        </w:rPr>
        <w:t xml:space="preserve">In such case, </w:t>
      </w:r>
      <w:r w:rsidR="00444281">
        <w:rPr>
          <w:b/>
          <w:bCs/>
          <w:sz w:val="20"/>
          <w:szCs w:val="20"/>
        </w:rPr>
        <w:t xml:space="preserve">the </w:t>
      </w:r>
      <w:r w:rsidRPr="00205D2C">
        <w:rPr>
          <w:b/>
          <w:bCs/>
          <w:sz w:val="20"/>
          <w:szCs w:val="20"/>
        </w:rPr>
        <w:t xml:space="preserve">explicit values </w:t>
      </w:r>
      <w:r w:rsidR="00444281">
        <w:rPr>
          <w:b/>
          <w:bCs/>
          <w:sz w:val="20"/>
          <w:szCs w:val="20"/>
        </w:rPr>
        <w:t xml:space="preserve">of the shifts </w:t>
      </w:r>
      <w:r w:rsidRPr="00205D2C">
        <w:rPr>
          <w:b/>
          <w:bCs/>
          <w:sz w:val="20"/>
          <w:szCs w:val="20"/>
        </w:rPr>
        <w:t>would need to be signalled for each side</w:t>
      </w:r>
      <w:r>
        <w:rPr>
          <w:b/>
          <w:bCs/>
          <w:sz w:val="20"/>
          <w:szCs w:val="20"/>
        </w:rPr>
        <w:t>.</w:t>
      </w:r>
    </w:p>
    <w:p w14:paraId="337563BE" w14:textId="2EC01EAC" w:rsidR="00BC0A9B" w:rsidRPr="00BC0A9B" w:rsidRDefault="00BC0A9B" w:rsidP="00310EAC">
      <w:pPr>
        <w:spacing w:before="120" w:after="120"/>
        <w:rPr>
          <w:b/>
          <w:bCs/>
          <w:sz w:val="20"/>
          <w:szCs w:val="20"/>
        </w:rPr>
      </w:pPr>
      <w:r>
        <w:rPr>
          <w:b/>
          <w:bCs/>
          <w:sz w:val="20"/>
          <w:szCs w:val="20"/>
        </w:rPr>
        <w:t xml:space="preserve">The UE </w:t>
      </w:r>
      <w:r w:rsidR="00310EAC">
        <w:rPr>
          <w:b/>
          <w:bCs/>
          <w:sz w:val="20"/>
          <w:szCs w:val="20"/>
        </w:rPr>
        <w:t xml:space="preserve">could also </w:t>
      </w:r>
      <w:r w:rsidR="00922048">
        <w:rPr>
          <w:b/>
          <w:bCs/>
          <w:sz w:val="20"/>
          <w:szCs w:val="20"/>
        </w:rPr>
        <w:t xml:space="preserve">additionally </w:t>
      </w:r>
      <w:r w:rsidR="00310EAC">
        <w:rPr>
          <w:b/>
          <w:bCs/>
          <w:sz w:val="20"/>
          <w:szCs w:val="20"/>
        </w:rPr>
        <w:t>verify that</w:t>
      </w:r>
      <w:r>
        <w:rPr>
          <w:b/>
          <w:bCs/>
          <w:sz w:val="20"/>
          <w:szCs w:val="20"/>
        </w:rPr>
        <w:t xml:space="preserve"> it is adhering to regulations.</w:t>
      </w:r>
    </w:p>
    <w:p w14:paraId="1CE1BE23" w14:textId="6F7C1E6E" w:rsidR="004C5A5E" w:rsidRPr="002F582B" w:rsidRDefault="002F582B" w:rsidP="002372A1">
      <w:pPr>
        <w:jc w:val="both"/>
        <w:rPr>
          <w:rFonts w:eastAsiaTheme="minorEastAsia"/>
          <w:b/>
          <w:bCs/>
          <w:sz w:val="20"/>
          <w:szCs w:val="20"/>
          <w:u w:val="single"/>
        </w:rPr>
      </w:pPr>
      <w:r w:rsidRPr="002F582B">
        <w:rPr>
          <w:rFonts w:eastAsiaTheme="minorEastAsia"/>
          <w:b/>
          <w:bCs/>
          <w:sz w:val="20"/>
          <w:szCs w:val="20"/>
          <w:u w:val="single"/>
        </w:rPr>
        <w:t xml:space="preserve">Detailed </w:t>
      </w:r>
      <w:r w:rsidR="00922048" w:rsidRPr="002F582B">
        <w:rPr>
          <w:rFonts w:eastAsiaTheme="minorEastAsia"/>
          <w:b/>
          <w:bCs/>
          <w:sz w:val="20"/>
          <w:szCs w:val="20"/>
          <w:u w:val="single"/>
        </w:rPr>
        <w:t>RRC parameters:</w:t>
      </w:r>
    </w:p>
    <w:p w14:paraId="57D9412D" w14:textId="4D1548D4" w:rsidR="00922048" w:rsidRDefault="00922048" w:rsidP="002372A1">
      <w:pPr>
        <w:jc w:val="both"/>
        <w:rPr>
          <w:rFonts w:eastAsiaTheme="minorEastAsia"/>
          <w:b/>
          <w:bCs/>
          <w:sz w:val="20"/>
          <w:szCs w:val="20"/>
          <w:u w:val="single"/>
        </w:rPr>
      </w:pPr>
    </w:p>
    <w:tbl>
      <w:tblPr>
        <w:tblStyle w:val="a7"/>
        <w:tblW w:w="0" w:type="auto"/>
        <w:tblLook w:val="04A0" w:firstRow="1" w:lastRow="0" w:firstColumn="1" w:lastColumn="0" w:noHBand="0" w:noVBand="1"/>
      </w:tblPr>
      <w:tblGrid>
        <w:gridCol w:w="2116"/>
        <w:gridCol w:w="2156"/>
        <w:gridCol w:w="2139"/>
        <w:gridCol w:w="1764"/>
        <w:gridCol w:w="1454"/>
      </w:tblGrid>
      <w:tr w:rsidR="002E4172" w14:paraId="7B00C684" w14:textId="6A5E2306" w:rsidTr="002E4172">
        <w:tc>
          <w:tcPr>
            <w:tcW w:w="2116" w:type="dxa"/>
          </w:tcPr>
          <w:p w14:paraId="16008194" w14:textId="2F67F2BA" w:rsidR="002E4172" w:rsidRPr="002F582B" w:rsidRDefault="002E4172" w:rsidP="002372A1">
            <w:pPr>
              <w:jc w:val="both"/>
              <w:rPr>
                <w:rFonts w:eastAsiaTheme="minorEastAsia"/>
                <w:b/>
                <w:bCs/>
                <w:sz w:val="20"/>
                <w:szCs w:val="20"/>
                <w:u w:val="single"/>
              </w:rPr>
            </w:pPr>
            <w:r w:rsidRPr="002F582B">
              <w:rPr>
                <w:rFonts w:eastAsiaTheme="minorEastAsia"/>
                <w:b/>
                <w:bCs/>
                <w:sz w:val="20"/>
                <w:szCs w:val="20"/>
                <w:u w:val="single"/>
              </w:rPr>
              <w:t>Name</w:t>
            </w:r>
          </w:p>
        </w:tc>
        <w:tc>
          <w:tcPr>
            <w:tcW w:w="2156" w:type="dxa"/>
          </w:tcPr>
          <w:p w14:paraId="2C77B819" w14:textId="786E1370" w:rsidR="002E4172" w:rsidRPr="002F582B" w:rsidRDefault="002E4172" w:rsidP="002372A1">
            <w:pPr>
              <w:jc w:val="both"/>
              <w:rPr>
                <w:rFonts w:eastAsiaTheme="minorEastAsia"/>
                <w:b/>
                <w:bCs/>
                <w:sz w:val="20"/>
                <w:szCs w:val="20"/>
                <w:u w:val="single"/>
              </w:rPr>
            </w:pPr>
            <w:r w:rsidRPr="002F582B">
              <w:rPr>
                <w:rFonts w:eastAsiaTheme="minorEastAsia"/>
                <w:b/>
                <w:bCs/>
                <w:sz w:val="20"/>
                <w:szCs w:val="20"/>
                <w:u w:val="single"/>
              </w:rPr>
              <w:t>Values</w:t>
            </w:r>
          </w:p>
        </w:tc>
        <w:tc>
          <w:tcPr>
            <w:tcW w:w="2139" w:type="dxa"/>
          </w:tcPr>
          <w:p w14:paraId="07DE6CCE" w14:textId="4B825FB3" w:rsidR="002E4172" w:rsidRPr="002F582B" w:rsidRDefault="002E4172" w:rsidP="002372A1">
            <w:pPr>
              <w:jc w:val="both"/>
              <w:rPr>
                <w:rFonts w:eastAsiaTheme="minorEastAsia"/>
                <w:b/>
                <w:bCs/>
                <w:sz w:val="20"/>
                <w:szCs w:val="20"/>
                <w:u w:val="single"/>
              </w:rPr>
            </w:pPr>
            <w:r w:rsidRPr="002F582B">
              <w:rPr>
                <w:rFonts w:eastAsiaTheme="minorEastAsia"/>
                <w:b/>
                <w:bCs/>
                <w:sz w:val="20"/>
                <w:szCs w:val="20"/>
                <w:u w:val="single"/>
              </w:rPr>
              <w:t>Conditions</w:t>
            </w:r>
          </w:p>
        </w:tc>
        <w:tc>
          <w:tcPr>
            <w:tcW w:w="1764" w:type="dxa"/>
          </w:tcPr>
          <w:p w14:paraId="632CD204" w14:textId="1AFC8523" w:rsidR="002E4172" w:rsidRPr="002F582B" w:rsidRDefault="002E4172" w:rsidP="002372A1">
            <w:pPr>
              <w:jc w:val="both"/>
              <w:rPr>
                <w:rFonts w:eastAsiaTheme="minorEastAsia"/>
                <w:b/>
                <w:bCs/>
                <w:sz w:val="20"/>
                <w:szCs w:val="20"/>
                <w:u w:val="single"/>
              </w:rPr>
            </w:pPr>
            <w:r w:rsidRPr="002F582B">
              <w:rPr>
                <w:rFonts w:eastAsiaTheme="minorEastAsia"/>
                <w:b/>
                <w:bCs/>
                <w:sz w:val="20"/>
                <w:szCs w:val="20"/>
                <w:u w:val="single"/>
              </w:rPr>
              <w:t>Comments</w:t>
            </w:r>
          </w:p>
        </w:tc>
        <w:tc>
          <w:tcPr>
            <w:tcW w:w="1454" w:type="dxa"/>
          </w:tcPr>
          <w:p w14:paraId="38729D4F" w14:textId="6D5A501B" w:rsidR="002E4172" w:rsidRPr="002F582B" w:rsidRDefault="002E4172" w:rsidP="002372A1">
            <w:pPr>
              <w:jc w:val="both"/>
              <w:rPr>
                <w:rFonts w:eastAsiaTheme="minorEastAsia"/>
                <w:b/>
                <w:bCs/>
                <w:sz w:val="20"/>
                <w:szCs w:val="20"/>
                <w:u w:val="single"/>
              </w:rPr>
            </w:pPr>
            <w:r w:rsidRPr="002F582B">
              <w:rPr>
                <w:rFonts w:eastAsiaTheme="minorEastAsia"/>
                <w:b/>
                <w:bCs/>
                <w:sz w:val="20"/>
                <w:szCs w:val="20"/>
                <w:u w:val="single"/>
              </w:rPr>
              <w:t>UE or cell specific</w:t>
            </w:r>
          </w:p>
        </w:tc>
      </w:tr>
      <w:tr w:rsidR="002E4172" w14:paraId="7C34436A" w14:textId="2009AA68" w:rsidTr="002E4172">
        <w:tc>
          <w:tcPr>
            <w:tcW w:w="2116" w:type="dxa"/>
          </w:tcPr>
          <w:p w14:paraId="67CCB22F" w14:textId="7D7C09F7" w:rsidR="002E4172" w:rsidRPr="002F582B" w:rsidRDefault="002E4172" w:rsidP="002E4172">
            <w:pPr>
              <w:rPr>
                <w:rFonts w:eastAsiaTheme="minorEastAsia"/>
                <w:b/>
                <w:bCs/>
                <w:sz w:val="20"/>
                <w:szCs w:val="20"/>
              </w:rPr>
            </w:pPr>
            <w:r w:rsidRPr="002F582B">
              <w:rPr>
                <w:rFonts w:eastAsiaTheme="minorEastAsia"/>
                <w:b/>
                <w:bCs/>
                <w:sz w:val="20"/>
                <w:szCs w:val="20"/>
              </w:rPr>
              <w:t>permittedShifted OOBE</w:t>
            </w:r>
            <w:r w:rsidR="002F582B" w:rsidRPr="002F582B">
              <w:rPr>
                <w:rFonts w:eastAsiaTheme="minorEastAsia"/>
                <w:b/>
                <w:bCs/>
                <w:sz w:val="20"/>
                <w:szCs w:val="20"/>
              </w:rPr>
              <w:t>-</w:t>
            </w:r>
            <w:r w:rsidRPr="002F582B">
              <w:rPr>
                <w:rFonts w:eastAsiaTheme="minorEastAsia"/>
                <w:b/>
                <w:bCs/>
                <w:sz w:val="20"/>
                <w:szCs w:val="20"/>
              </w:rPr>
              <w:t>Type</w:t>
            </w:r>
          </w:p>
        </w:tc>
        <w:tc>
          <w:tcPr>
            <w:tcW w:w="2156" w:type="dxa"/>
          </w:tcPr>
          <w:p w14:paraId="32DC9535" w14:textId="29E76A7A" w:rsidR="002E4172" w:rsidRPr="002F582B" w:rsidRDefault="002E4172" w:rsidP="002E4172">
            <w:pPr>
              <w:rPr>
                <w:rFonts w:eastAsiaTheme="minorEastAsia"/>
                <w:b/>
                <w:bCs/>
                <w:sz w:val="20"/>
                <w:szCs w:val="20"/>
              </w:rPr>
            </w:pPr>
            <w:r w:rsidRPr="002F582B">
              <w:rPr>
                <w:rFonts w:eastAsiaTheme="minorEastAsia"/>
                <w:b/>
                <w:bCs/>
                <w:sz w:val="20"/>
                <w:szCs w:val="20"/>
              </w:rPr>
              <w:t>CHOICE (Symmetrical, Asymmetrical)</w:t>
            </w:r>
          </w:p>
        </w:tc>
        <w:tc>
          <w:tcPr>
            <w:tcW w:w="2139" w:type="dxa"/>
          </w:tcPr>
          <w:p w14:paraId="5354EDD1" w14:textId="2978FAA2" w:rsidR="002E4172" w:rsidRPr="002F582B" w:rsidRDefault="002E4172" w:rsidP="002E4172">
            <w:pPr>
              <w:rPr>
                <w:rFonts w:eastAsiaTheme="minorEastAsia"/>
                <w:b/>
                <w:bCs/>
                <w:sz w:val="20"/>
                <w:szCs w:val="20"/>
              </w:rPr>
            </w:pPr>
          </w:p>
        </w:tc>
        <w:tc>
          <w:tcPr>
            <w:tcW w:w="1764" w:type="dxa"/>
          </w:tcPr>
          <w:p w14:paraId="137DFE72" w14:textId="3EBEB896" w:rsidR="002E4172" w:rsidRPr="002F582B" w:rsidRDefault="002E4172" w:rsidP="002E4172">
            <w:pPr>
              <w:rPr>
                <w:rFonts w:eastAsiaTheme="minorEastAsia"/>
                <w:b/>
                <w:bCs/>
                <w:sz w:val="20"/>
                <w:szCs w:val="20"/>
              </w:rPr>
            </w:pPr>
            <w:r w:rsidRPr="002F582B">
              <w:rPr>
                <w:rFonts w:eastAsiaTheme="minorEastAsia"/>
                <w:b/>
                <w:bCs/>
                <w:sz w:val="20"/>
                <w:szCs w:val="20"/>
              </w:rPr>
              <w:t>Default shift value = 0.5*.</w:t>
            </w:r>
          </w:p>
        </w:tc>
        <w:tc>
          <w:tcPr>
            <w:tcW w:w="1454" w:type="dxa"/>
          </w:tcPr>
          <w:p w14:paraId="2DDB0EEE" w14:textId="7B1135C1" w:rsidR="002E4172" w:rsidRPr="002F582B" w:rsidRDefault="002E4172" w:rsidP="002E4172">
            <w:pPr>
              <w:rPr>
                <w:rFonts w:eastAsiaTheme="minorEastAsia"/>
                <w:b/>
                <w:bCs/>
                <w:sz w:val="20"/>
                <w:szCs w:val="20"/>
              </w:rPr>
            </w:pPr>
            <w:r w:rsidRPr="002F582B">
              <w:rPr>
                <w:rFonts w:eastAsiaTheme="minorEastAsia"/>
                <w:b/>
                <w:bCs/>
                <w:sz w:val="20"/>
                <w:szCs w:val="20"/>
              </w:rPr>
              <w:t>UE specific</w:t>
            </w:r>
          </w:p>
        </w:tc>
      </w:tr>
      <w:tr w:rsidR="002E4172" w14:paraId="71DF09F1" w14:textId="47D88E50" w:rsidTr="002E4172">
        <w:tc>
          <w:tcPr>
            <w:tcW w:w="2116" w:type="dxa"/>
          </w:tcPr>
          <w:p w14:paraId="7C0B2733" w14:textId="31B3BB13" w:rsidR="002E4172" w:rsidRPr="002F582B" w:rsidRDefault="002E4172" w:rsidP="002E4172">
            <w:pPr>
              <w:rPr>
                <w:rFonts w:eastAsiaTheme="minorEastAsia"/>
                <w:b/>
                <w:bCs/>
                <w:sz w:val="20"/>
                <w:szCs w:val="20"/>
              </w:rPr>
            </w:pPr>
            <w:r w:rsidRPr="002F582B">
              <w:rPr>
                <w:rFonts w:eastAsiaTheme="minorEastAsia"/>
                <w:b/>
                <w:bCs/>
                <w:sz w:val="20"/>
                <w:szCs w:val="20"/>
              </w:rPr>
              <w:t>asymmetricalShifted OOBE</w:t>
            </w:r>
            <w:r w:rsidR="002F582B" w:rsidRPr="002F582B">
              <w:rPr>
                <w:rFonts w:eastAsiaTheme="minorEastAsia"/>
                <w:b/>
                <w:bCs/>
                <w:sz w:val="20"/>
                <w:szCs w:val="20"/>
              </w:rPr>
              <w:t>-</w:t>
            </w:r>
            <w:r w:rsidRPr="002F582B">
              <w:rPr>
                <w:rFonts w:eastAsiaTheme="minorEastAsia"/>
                <w:b/>
                <w:bCs/>
                <w:sz w:val="20"/>
                <w:szCs w:val="20"/>
              </w:rPr>
              <w:t>Applicability</w:t>
            </w:r>
          </w:p>
        </w:tc>
        <w:tc>
          <w:tcPr>
            <w:tcW w:w="2156" w:type="dxa"/>
          </w:tcPr>
          <w:p w14:paraId="52EBCCBB" w14:textId="6BE06BEE" w:rsidR="002E4172" w:rsidRPr="002F582B" w:rsidRDefault="002E4172" w:rsidP="002E4172">
            <w:pPr>
              <w:rPr>
                <w:rFonts w:eastAsiaTheme="minorEastAsia"/>
                <w:b/>
                <w:bCs/>
                <w:sz w:val="20"/>
                <w:szCs w:val="20"/>
              </w:rPr>
            </w:pPr>
            <w:r w:rsidRPr="002F582B">
              <w:rPr>
                <w:rFonts w:eastAsiaTheme="minorEastAsia"/>
                <w:b/>
                <w:bCs/>
                <w:sz w:val="20"/>
                <w:szCs w:val="20"/>
              </w:rPr>
              <w:t>CHOICE (Left side, Right side)</w:t>
            </w:r>
          </w:p>
        </w:tc>
        <w:tc>
          <w:tcPr>
            <w:tcW w:w="2139" w:type="dxa"/>
          </w:tcPr>
          <w:p w14:paraId="3B1A0FDB" w14:textId="35B3CE94" w:rsidR="002E4172" w:rsidRPr="002F582B" w:rsidRDefault="002E4172" w:rsidP="002E4172">
            <w:pPr>
              <w:rPr>
                <w:rFonts w:eastAsiaTheme="minorEastAsia"/>
                <w:b/>
                <w:bCs/>
                <w:sz w:val="20"/>
                <w:szCs w:val="20"/>
              </w:rPr>
            </w:pPr>
            <w:r w:rsidRPr="002F582B">
              <w:rPr>
                <w:rFonts w:eastAsiaTheme="minorEastAsia"/>
                <w:b/>
                <w:bCs/>
                <w:sz w:val="20"/>
                <w:szCs w:val="20"/>
              </w:rPr>
              <w:t xml:space="preserve">Ignored by UE if </w:t>
            </w:r>
            <w:r w:rsidR="002F582B" w:rsidRPr="002F582B">
              <w:rPr>
                <w:rFonts w:eastAsiaTheme="minorEastAsia"/>
                <w:b/>
                <w:bCs/>
                <w:sz w:val="20"/>
                <w:szCs w:val="20"/>
              </w:rPr>
              <w:t xml:space="preserve">permittedShifted OOBE-Type </w:t>
            </w:r>
            <w:r w:rsidRPr="002F582B">
              <w:rPr>
                <w:rFonts w:eastAsiaTheme="minorEastAsia"/>
                <w:b/>
                <w:bCs/>
                <w:sz w:val="20"/>
                <w:szCs w:val="20"/>
              </w:rPr>
              <w:t>value = “Symmetrical”</w:t>
            </w:r>
          </w:p>
        </w:tc>
        <w:tc>
          <w:tcPr>
            <w:tcW w:w="1764" w:type="dxa"/>
          </w:tcPr>
          <w:p w14:paraId="34233E03" w14:textId="3D69D9BF" w:rsidR="002E4172" w:rsidRPr="002F582B" w:rsidRDefault="002E4172" w:rsidP="002E4172">
            <w:pPr>
              <w:rPr>
                <w:rFonts w:eastAsiaTheme="minorEastAsia"/>
                <w:b/>
                <w:bCs/>
                <w:sz w:val="20"/>
                <w:szCs w:val="20"/>
              </w:rPr>
            </w:pPr>
            <w:r w:rsidRPr="002F582B">
              <w:rPr>
                <w:rFonts w:eastAsiaTheme="minorEastAsia"/>
                <w:b/>
                <w:bCs/>
                <w:sz w:val="20"/>
                <w:szCs w:val="20"/>
              </w:rPr>
              <w:t>Default shift value = 0.5*</w:t>
            </w:r>
          </w:p>
        </w:tc>
        <w:tc>
          <w:tcPr>
            <w:tcW w:w="1454" w:type="dxa"/>
          </w:tcPr>
          <w:p w14:paraId="59D86256" w14:textId="1122BEAF" w:rsidR="002E4172" w:rsidRPr="002F582B" w:rsidRDefault="002E4172" w:rsidP="002E4172">
            <w:pPr>
              <w:rPr>
                <w:rFonts w:eastAsiaTheme="minorEastAsia"/>
                <w:b/>
                <w:bCs/>
                <w:sz w:val="20"/>
                <w:szCs w:val="20"/>
              </w:rPr>
            </w:pPr>
            <w:r w:rsidRPr="002F582B">
              <w:rPr>
                <w:rFonts w:eastAsiaTheme="minorEastAsia"/>
                <w:b/>
                <w:bCs/>
                <w:sz w:val="20"/>
                <w:szCs w:val="20"/>
              </w:rPr>
              <w:t>UE specific</w:t>
            </w:r>
          </w:p>
        </w:tc>
      </w:tr>
      <w:tr w:rsidR="002E4172" w14:paraId="4937E820" w14:textId="5D415DD3" w:rsidTr="002E4172">
        <w:tc>
          <w:tcPr>
            <w:tcW w:w="2116" w:type="dxa"/>
          </w:tcPr>
          <w:p w14:paraId="148D4409" w14:textId="4F08FE26" w:rsidR="002E4172" w:rsidRPr="002F582B" w:rsidRDefault="002E4172" w:rsidP="002372A1">
            <w:pPr>
              <w:jc w:val="both"/>
              <w:rPr>
                <w:rFonts w:eastAsiaTheme="minorEastAsia"/>
                <w:b/>
                <w:bCs/>
                <w:sz w:val="20"/>
                <w:szCs w:val="20"/>
              </w:rPr>
            </w:pPr>
            <w:r w:rsidRPr="002F582B">
              <w:rPr>
                <w:rFonts w:eastAsiaTheme="minorEastAsia"/>
                <w:b/>
                <w:bCs/>
                <w:sz w:val="20"/>
                <w:szCs w:val="20"/>
              </w:rPr>
              <w:t>FFS other parameters</w:t>
            </w:r>
            <w:r w:rsidR="002F582B" w:rsidRPr="002F582B">
              <w:rPr>
                <w:rFonts w:eastAsiaTheme="minorEastAsia"/>
                <w:b/>
                <w:bCs/>
                <w:sz w:val="20"/>
                <w:szCs w:val="20"/>
              </w:rPr>
              <w:t xml:space="preserve"> and whether this changes the structure above</w:t>
            </w:r>
          </w:p>
        </w:tc>
        <w:tc>
          <w:tcPr>
            <w:tcW w:w="2156" w:type="dxa"/>
          </w:tcPr>
          <w:p w14:paraId="0A77CCE3" w14:textId="77777777" w:rsidR="002E4172" w:rsidRPr="002F582B" w:rsidRDefault="002E4172" w:rsidP="002372A1">
            <w:pPr>
              <w:jc w:val="both"/>
              <w:rPr>
                <w:rFonts w:eastAsiaTheme="minorEastAsia"/>
                <w:b/>
                <w:bCs/>
                <w:sz w:val="20"/>
                <w:szCs w:val="20"/>
                <w:u w:val="single"/>
              </w:rPr>
            </w:pPr>
          </w:p>
        </w:tc>
        <w:tc>
          <w:tcPr>
            <w:tcW w:w="2139" w:type="dxa"/>
          </w:tcPr>
          <w:p w14:paraId="30FBDC1C" w14:textId="77777777" w:rsidR="002E4172" w:rsidRPr="002F582B" w:rsidRDefault="002E4172" w:rsidP="002372A1">
            <w:pPr>
              <w:jc w:val="both"/>
              <w:rPr>
                <w:rFonts w:eastAsiaTheme="minorEastAsia"/>
                <w:b/>
                <w:bCs/>
                <w:sz w:val="20"/>
                <w:szCs w:val="20"/>
                <w:u w:val="single"/>
              </w:rPr>
            </w:pPr>
          </w:p>
        </w:tc>
        <w:tc>
          <w:tcPr>
            <w:tcW w:w="1764" w:type="dxa"/>
          </w:tcPr>
          <w:p w14:paraId="1C26C402" w14:textId="77777777" w:rsidR="002E4172" w:rsidRPr="002F582B" w:rsidRDefault="002E4172" w:rsidP="002372A1">
            <w:pPr>
              <w:jc w:val="both"/>
              <w:rPr>
                <w:rFonts w:eastAsiaTheme="minorEastAsia"/>
                <w:b/>
                <w:bCs/>
                <w:sz w:val="20"/>
                <w:szCs w:val="20"/>
                <w:u w:val="single"/>
              </w:rPr>
            </w:pPr>
          </w:p>
        </w:tc>
        <w:tc>
          <w:tcPr>
            <w:tcW w:w="1454" w:type="dxa"/>
          </w:tcPr>
          <w:p w14:paraId="2FB946AA" w14:textId="77777777" w:rsidR="002E4172" w:rsidRPr="002F582B" w:rsidRDefault="002E4172" w:rsidP="002372A1">
            <w:pPr>
              <w:jc w:val="both"/>
              <w:rPr>
                <w:rFonts w:eastAsiaTheme="minorEastAsia"/>
                <w:b/>
                <w:bCs/>
                <w:sz w:val="20"/>
                <w:szCs w:val="20"/>
                <w:u w:val="single"/>
              </w:rPr>
            </w:pPr>
          </w:p>
        </w:tc>
      </w:tr>
    </w:tbl>
    <w:p w14:paraId="0C899EAF" w14:textId="77777777" w:rsidR="00922048" w:rsidRDefault="00922048" w:rsidP="002372A1">
      <w:pPr>
        <w:jc w:val="both"/>
        <w:rPr>
          <w:rFonts w:eastAsiaTheme="minorEastAsia"/>
          <w:b/>
          <w:bCs/>
          <w:sz w:val="20"/>
          <w:szCs w:val="20"/>
          <w:u w:val="single"/>
        </w:rPr>
      </w:pPr>
    </w:p>
    <w:p w14:paraId="13FFA0CB" w14:textId="01CBFB62" w:rsidR="00922048" w:rsidRDefault="002E4172" w:rsidP="002372A1">
      <w:pPr>
        <w:jc w:val="both"/>
        <w:rPr>
          <w:rFonts w:eastAsiaTheme="minorEastAsia"/>
          <w:sz w:val="20"/>
          <w:szCs w:val="20"/>
        </w:rPr>
      </w:pPr>
      <w:r w:rsidRPr="002F582B">
        <w:rPr>
          <w:rFonts w:eastAsiaTheme="minorEastAsia"/>
          <w:sz w:val="20"/>
          <w:szCs w:val="20"/>
        </w:rPr>
        <w:t>Other potential pre-requisites could be that “dedicated channel Bandwidth” is configured to the UE.</w:t>
      </w:r>
    </w:p>
    <w:p w14:paraId="35D7B731" w14:textId="77777777" w:rsidR="002F582B" w:rsidRDefault="002F582B" w:rsidP="002372A1">
      <w:pPr>
        <w:jc w:val="both"/>
        <w:rPr>
          <w:rFonts w:eastAsiaTheme="minorEastAsia"/>
          <w:sz w:val="20"/>
          <w:szCs w:val="20"/>
        </w:rPr>
      </w:pPr>
    </w:p>
    <w:p w14:paraId="7EF0A724" w14:textId="5EC96299" w:rsidR="002F582B" w:rsidRPr="002F582B" w:rsidRDefault="002F582B" w:rsidP="002372A1">
      <w:pPr>
        <w:jc w:val="both"/>
        <w:rPr>
          <w:rFonts w:eastAsiaTheme="minorEastAsia"/>
          <w:b/>
          <w:bCs/>
          <w:sz w:val="20"/>
          <w:szCs w:val="20"/>
        </w:rPr>
      </w:pPr>
      <w:r w:rsidRPr="002F582B">
        <w:rPr>
          <w:rFonts w:eastAsiaTheme="minorEastAsia"/>
          <w:b/>
          <w:bCs/>
          <w:sz w:val="20"/>
          <w:szCs w:val="20"/>
          <w:u w:val="single"/>
        </w:rPr>
        <w:t>Proposal</w:t>
      </w:r>
      <w:r>
        <w:rPr>
          <w:rFonts w:eastAsiaTheme="minorEastAsia"/>
          <w:b/>
          <w:bCs/>
          <w:sz w:val="20"/>
          <w:szCs w:val="20"/>
          <w:u w:val="single"/>
        </w:rPr>
        <w:t xml:space="preserve"> 8</w:t>
      </w:r>
      <w:r w:rsidRPr="002F582B">
        <w:rPr>
          <w:rFonts w:eastAsiaTheme="minorEastAsia"/>
          <w:b/>
          <w:bCs/>
          <w:sz w:val="20"/>
          <w:szCs w:val="20"/>
        </w:rPr>
        <w:t xml:space="preserve">: </w:t>
      </w:r>
      <w:r>
        <w:rPr>
          <w:rFonts w:eastAsiaTheme="minorEastAsia"/>
          <w:b/>
          <w:bCs/>
          <w:sz w:val="20"/>
          <w:szCs w:val="20"/>
        </w:rPr>
        <w:t>RAN4 to</w:t>
      </w:r>
      <w:r w:rsidRPr="002F582B">
        <w:rPr>
          <w:rFonts w:eastAsiaTheme="minorEastAsia"/>
          <w:b/>
          <w:bCs/>
          <w:sz w:val="20"/>
          <w:szCs w:val="20"/>
        </w:rPr>
        <w:t xml:space="preserve"> decide whether Dedicated Channel Bandwidth configuration is a pre-requisite.</w:t>
      </w:r>
    </w:p>
    <w:p w14:paraId="2F47D83D" w14:textId="77777777" w:rsidR="002E4172" w:rsidRDefault="002E4172" w:rsidP="002372A1">
      <w:pPr>
        <w:jc w:val="both"/>
        <w:rPr>
          <w:rFonts w:eastAsiaTheme="minorEastAsia"/>
          <w:b/>
          <w:bCs/>
          <w:sz w:val="20"/>
          <w:szCs w:val="20"/>
          <w:u w:val="single"/>
        </w:rPr>
      </w:pPr>
    </w:p>
    <w:p w14:paraId="7F17228D" w14:textId="115FA24A" w:rsidR="002372A1" w:rsidRPr="00EF13E9" w:rsidRDefault="00B2086E" w:rsidP="002372A1">
      <w:pPr>
        <w:jc w:val="both"/>
        <w:rPr>
          <w:rFonts w:eastAsiaTheme="minorEastAsia"/>
          <w:b/>
          <w:bCs/>
          <w:sz w:val="20"/>
          <w:szCs w:val="20"/>
          <w:u w:val="single"/>
        </w:rPr>
      </w:pPr>
      <w:r w:rsidRPr="00EF13E9">
        <w:rPr>
          <w:rFonts w:eastAsiaTheme="minorEastAsia"/>
          <w:b/>
          <w:bCs/>
          <w:sz w:val="20"/>
          <w:szCs w:val="20"/>
          <w:u w:val="single"/>
        </w:rPr>
        <w:t>UE capability signalling</w:t>
      </w:r>
    </w:p>
    <w:p w14:paraId="743DB6AA" w14:textId="1D6E9B30" w:rsidR="00310EAC" w:rsidRPr="00310EAC" w:rsidRDefault="00310EAC" w:rsidP="00310EAC">
      <w:pPr>
        <w:autoSpaceDN w:val="0"/>
        <w:spacing w:after="120"/>
        <w:rPr>
          <w:i/>
          <w:sz w:val="16"/>
          <w:szCs w:val="16"/>
          <w:highlight w:val="green"/>
          <w:lang w:eastAsia="zh-CN"/>
        </w:rPr>
      </w:pPr>
      <w:r w:rsidRPr="00310EAC">
        <w:rPr>
          <w:i/>
          <w:sz w:val="20"/>
          <w:szCs w:val="20"/>
          <w:highlight w:val="green"/>
          <w:lang w:eastAsia="zh-CN"/>
        </w:rPr>
        <w:t xml:space="preserve">Agreement in RAN4#114bis: </w:t>
      </w:r>
    </w:p>
    <w:p w14:paraId="7E9588F9" w14:textId="77777777" w:rsidR="00310EAC" w:rsidRPr="00310EAC" w:rsidRDefault="00310EAC" w:rsidP="00263B0C">
      <w:pPr>
        <w:pStyle w:val="af4"/>
        <w:numPr>
          <w:ilvl w:val="0"/>
          <w:numId w:val="8"/>
        </w:numPr>
        <w:autoSpaceDN w:val="0"/>
        <w:spacing w:after="120"/>
        <w:contextualSpacing w:val="0"/>
        <w:rPr>
          <w:rFonts w:eastAsia="SimSun"/>
          <w:i/>
          <w:sz w:val="20"/>
          <w:szCs w:val="20"/>
          <w:lang w:eastAsia="zh-CN"/>
        </w:rPr>
      </w:pPr>
      <w:r w:rsidRPr="00310EAC">
        <w:rPr>
          <w:rFonts w:eastAsia="SimSun"/>
          <w:i/>
          <w:sz w:val="20"/>
          <w:szCs w:val="20"/>
          <w:lang w:eastAsia="zh-CN"/>
        </w:rPr>
        <w:t>An optional UE capability to indicate whether it supports the CBW extension based MPR reduction feature</w:t>
      </w:r>
    </w:p>
    <w:p w14:paraId="49B4A3FB" w14:textId="77777777" w:rsidR="00310EAC" w:rsidRPr="00310EAC" w:rsidRDefault="00310EAC" w:rsidP="00263B0C">
      <w:pPr>
        <w:pStyle w:val="af4"/>
        <w:numPr>
          <w:ilvl w:val="0"/>
          <w:numId w:val="8"/>
        </w:numPr>
        <w:autoSpaceDN w:val="0"/>
        <w:spacing w:after="120"/>
        <w:contextualSpacing w:val="0"/>
        <w:rPr>
          <w:rFonts w:eastAsia="SimSun"/>
          <w:i/>
          <w:sz w:val="20"/>
          <w:szCs w:val="20"/>
          <w:lang w:eastAsia="zh-CN"/>
        </w:rPr>
      </w:pPr>
      <w:r w:rsidRPr="00310EAC">
        <w:rPr>
          <w:rFonts w:eastAsia="SimSun"/>
          <w:i/>
          <w:sz w:val="20"/>
          <w:szCs w:val="20"/>
          <w:lang w:eastAsia="zh-CN"/>
        </w:rPr>
        <w:t xml:space="preserve">To discuss the following aspects </w:t>
      </w:r>
    </w:p>
    <w:p w14:paraId="3203A0D6" w14:textId="77777777" w:rsidR="00310EAC" w:rsidRPr="00310EAC" w:rsidRDefault="00310EAC" w:rsidP="00263B0C">
      <w:pPr>
        <w:pStyle w:val="af4"/>
        <w:numPr>
          <w:ilvl w:val="1"/>
          <w:numId w:val="8"/>
        </w:numPr>
        <w:autoSpaceDN w:val="0"/>
        <w:spacing w:after="120"/>
        <w:contextualSpacing w:val="0"/>
        <w:rPr>
          <w:rFonts w:eastAsia="SimSun"/>
          <w:i/>
          <w:sz w:val="20"/>
          <w:szCs w:val="20"/>
          <w:lang w:eastAsia="zh-CN"/>
        </w:rPr>
      </w:pPr>
      <w:r w:rsidRPr="00310EAC">
        <w:rPr>
          <w:rFonts w:eastAsia="SimSun"/>
          <w:i/>
          <w:sz w:val="20"/>
          <w:szCs w:val="20"/>
          <w:lang w:eastAsia="zh-CN"/>
        </w:rPr>
        <w:t>Whether to have separate UE capabilities for scenario 1 and scenario 2</w:t>
      </w:r>
    </w:p>
    <w:p w14:paraId="503E049D" w14:textId="77777777" w:rsidR="00310EAC" w:rsidRPr="00310EAC" w:rsidRDefault="00310EAC" w:rsidP="00263B0C">
      <w:pPr>
        <w:pStyle w:val="af4"/>
        <w:numPr>
          <w:ilvl w:val="1"/>
          <w:numId w:val="8"/>
        </w:numPr>
        <w:autoSpaceDN w:val="0"/>
        <w:spacing w:after="120"/>
        <w:contextualSpacing w:val="0"/>
        <w:rPr>
          <w:rFonts w:eastAsia="SimSun"/>
          <w:i/>
          <w:sz w:val="20"/>
          <w:szCs w:val="20"/>
          <w:lang w:eastAsia="zh-CN"/>
        </w:rPr>
      </w:pPr>
      <w:r w:rsidRPr="00310EAC">
        <w:rPr>
          <w:rFonts w:eastAsia="SimSun"/>
          <w:i/>
          <w:sz w:val="20"/>
          <w:szCs w:val="20"/>
          <w:lang w:eastAsia="zh-CN"/>
        </w:rPr>
        <w:t>Whether to indicate multiple values of fixed extension capability</w:t>
      </w:r>
    </w:p>
    <w:p w14:paraId="39AD8911" w14:textId="20FA1EF9" w:rsidR="00EF13E9" w:rsidRDefault="00310EAC" w:rsidP="00310EAC">
      <w:pPr>
        <w:spacing w:before="120"/>
        <w:jc w:val="both"/>
        <w:rPr>
          <w:rFonts w:eastAsiaTheme="minorEastAsia"/>
          <w:sz w:val="20"/>
          <w:szCs w:val="20"/>
        </w:rPr>
      </w:pPr>
      <w:r>
        <w:rPr>
          <w:rFonts w:eastAsiaTheme="minorEastAsia"/>
          <w:sz w:val="20"/>
          <w:szCs w:val="20"/>
        </w:rPr>
        <w:t>We do not really see the difference between scenario 1 and scenario 2 from a UE implementation perspective</w:t>
      </w:r>
      <w:r w:rsidR="00B4383C" w:rsidRPr="00310EAC">
        <w:rPr>
          <w:rFonts w:eastAsiaTheme="minorEastAsia"/>
          <w:sz w:val="20"/>
          <w:szCs w:val="20"/>
        </w:rPr>
        <w:t>.</w:t>
      </w:r>
      <w:r>
        <w:rPr>
          <w:rFonts w:eastAsiaTheme="minorEastAsia"/>
          <w:sz w:val="20"/>
          <w:szCs w:val="20"/>
        </w:rPr>
        <w:t xml:space="preserve"> It more comes down to what is permitted in the operating environment.</w:t>
      </w:r>
    </w:p>
    <w:p w14:paraId="58CAF6AF" w14:textId="70D2486F" w:rsidR="00310EAC" w:rsidRPr="00310EAC" w:rsidRDefault="00310EAC" w:rsidP="00310EAC">
      <w:pPr>
        <w:spacing w:before="120"/>
        <w:jc w:val="both"/>
        <w:rPr>
          <w:sz w:val="20"/>
          <w:szCs w:val="20"/>
        </w:rPr>
      </w:pPr>
      <w:r>
        <w:rPr>
          <w:rFonts w:eastAsiaTheme="minorEastAsia"/>
          <w:sz w:val="20"/>
          <w:szCs w:val="20"/>
        </w:rPr>
        <w:t>We do think that we should have separate capabilities for the default 0.5</w:t>
      </w:r>
      <w:r w:rsidR="00922048">
        <w:rPr>
          <w:rFonts w:eastAsiaTheme="minorEastAsia"/>
          <w:sz w:val="20"/>
          <w:szCs w:val="20"/>
        </w:rPr>
        <w:t>*</w:t>
      </w:r>
      <w:r>
        <w:rPr>
          <w:rFonts w:eastAsiaTheme="minorEastAsia"/>
          <w:sz w:val="20"/>
          <w:szCs w:val="20"/>
        </w:rPr>
        <w:t xml:space="preserve"> shift and any other shifted values, as more shifted values add more testing complexity and IODT, and the benefits may be limited to very specific deployments.</w:t>
      </w:r>
    </w:p>
    <w:p w14:paraId="6C649BEB" w14:textId="4E31B638" w:rsidR="00310EAC" w:rsidRPr="00922048" w:rsidRDefault="00310EAC" w:rsidP="00310EAC">
      <w:pPr>
        <w:spacing w:before="120"/>
        <w:jc w:val="both"/>
        <w:rPr>
          <w:rFonts w:eastAsiaTheme="minorEastAsia"/>
          <w:sz w:val="20"/>
          <w:szCs w:val="20"/>
        </w:rPr>
      </w:pPr>
      <w:r w:rsidRPr="00922048">
        <w:rPr>
          <w:rFonts w:eastAsiaTheme="minorEastAsia"/>
          <w:sz w:val="20"/>
          <w:szCs w:val="20"/>
        </w:rPr>
        <w:t>RAN4 has not explicitly discussed whether the capability would apply for specific power classes. Our starting point was RedCap so we had assumed 23dBm. However, 26dBm power class is also being defined for RedCap. Our simulation an</w:t>
      </w:r>
      <w:r w:rsidR="000D30BF" w:rsidRPr="00922048">
        <w:rPr>
          <w:rFonts w:eastAsiaTheme="minorEastAsia"/>
          <w:sz w:val="20"/>
          <w:szCs w:val="20"/>
        </w:rPr>
        <w:t>a</w:t>
      </w:r>
      <w:r w:rsidRPr="00922048">
        <w:rPr>
          <w:rFonts w:eastAsiaTheme="minorEastAsia"/>
          <w:sz w:val="20"/>
          <w:szCs w:val="20"/>
        </w:rPr>
        <w:t>lysis has also been focused on PC3 so far. We would be open to apply for PC2 but we would need more time to evaluate whether the same assumptions can apply for PC2, also considering that “edge RB allocations” are defined for PC2.</w:t>
      </w:r>
    </w:p>
    <w:p w14:paraId="7C7A4142" w14:textId="3ADC3AEE" w:rsidR="00B651BB" w:rsidRDefault="00EF13E9" w:rsidP="00310EAC">
      <w:pPr>
        <w:spacing w:before="120"/>
        <w:jc w:val="both"/>
        <w:rPr>
          <w:rFonts w:eastAsiaTheme="minorEastAsia"/>
          <w:b/>
          <w:bCs/>
          <w:sz w:val="20"/>
          <w:szCs w:val="20"/>
          <w:u w:val="single"/>
        </w:rPr>
      </w:pPr>
      <w:r w:rsidRPr="004C5A5E">
        <w:rPr>
          <w:rFonts w:eastAsiaTheme="minorEastAsia"/>
          <w:b/>
          <w:bCs/>
          <w:sz w:val="20"/>
          <w:szCs w:val="20"/>
          <w:u w:val="single"/>
        </w:rPr>
        <w:t>Proposal</w:t>
      </w:r>
      <w:r w:rsidR="003B1BAC">
        <w:rPr>
          <w:rFonts w:eastAsiaTheme="minorEastAsia"/>
          <w:b/>
          <w:bCs/>
          <w:sz w:val="20"/>
          <w:szCs w:val="20"/>
          <w:u w:val="single"/>
        </w:rPr>
        <w:t xml:space="preserve"> </w:t>
      </w:r>
      <w:r w:rsidR="00B651BB">
        <w:rPr>
          <w:rFonts w:eastAsiaTheme="minorEastAsia"/>
          <w:b/>
          <w:bCs/>
          <w:sz w:val="20"/>
          <w:szCs w:val="20"/>
          <w:u w:val="single"/>
        </w:rPr>
        <w:t>9</w:t>
      </w:r>
      <w:r w:rsidR="00B651BB" w:rsidRPr="00B651BB">
        <w:rPr>
          <w:rFonts w:eastAsiaTheme="minorEastAsia"/>
          <w:b/>
          <w:bCs/>
          <w:sz w:val="20"/>
          <w:szCs w:val="20"/>
        </w:rPr>
        <w:t>: Define 0.5* shift as the default capability for the supported feature. If additional shifts of &lt;0.5* are specified, then define separate UE capability(ies) for additional</w:t>
      </w:r>
      <w:bookmarkStart w:id="8" w:name="OLE_LINK109"/>
      <w:r w:rsidR="00B651BB" w:rsidRPr="00B651BB">
        <w:rPr>
          <w:rFonts w:eastAsiaTheme="minorEastAsia"/>
          <w:b/>
          <w:bCs/>
          <w:sz w:val="20"/>
          <w:szCs w:val="20"/>
        </w:rPr>
        <w:t xml:space="preserve"> </w:t>
      </w:r>
      <w:bookmarkEnd w:id="8"/>
      <w:r w:rsidR="00B651BB" w:rsidRPr="00B651BB">
        <w:rPr>
          <w:rFonts w:eastAsiaTheme="minorEastAsia"/>
          <w:b/>
          <w:bCs/>
          <w:sz w:val="20"/>
          <w:szCs w:val="20"/>
        </w:rPr>
        <w:t>shifts.</w:t>
      </w:r>
    </w:p>
    <w:p w14:paraId="798BAFCC" w14:textId="49278FDB" w:rsidR="00B4383C" w:rsidRDefault="00B651BB" w:rsidP="00310EAC">
      <w:pPr>
        <w:spacing w:before="120"/>
        <w:jc w:val="both"/>
        <w:rPr>
          <w:rFonts w:eastAsiaTheme="minorEastAsia"/>
          <w:b/>
          <w:bCs/>
          <w:sz w:val="20"/>
          <w:szCs w:val="20"/>
        </w:rPr>
      </w:pPr>
      <w:r>
        <w:rPr>
          <w:rFonts w:eastAsiaTheme="minorEastAsia"/>
          <w:b/>
          <w:bCs/>
          <w:sz w:val="20"/>
          <w:szCs w:val="20"/>
          <w:u w:val="single"/>
        </w:rPr>
        <w:lastRenderedPageBreak/>
        <w:t>Proposal 10</w:t>
      </w:r>
      <w:r w:rsidR="00EF13E9" w:rsidRPr="00EF13E9">
        <w:rPr>
          <w:rFonts w:eastAsiaTheme="minorEastAsia"/>
          <w:b/>
          <w:bCs/>
          <w:sz w:val="20"/>
          <w:szCs w:val="20"/>
        </w:rPr>
        <w:t xml:space="preserve">: </w:t>
      </w:r>
      <w:r w:rsidR="00922048">
        <w:rPr>
          <w:rFonts w:eastAsiaTheme="minorEastAsia"/>
          <w:b/>
          <w:bCs/>
          <w:sz w:val="20"/>
          <w:szCs w:val="20"/>
        </w:rPr>
        <w:t>Discuss further until RAN4#116 whether to apply also this feature also for PC2</w:t>
      </w:r>
      <w:r w:rsidR="00B4383C" w:rsidRPr="00B4383C">
        <w:rPr>
          <w:rFonts w:eastAsiaTheme="minorEastAsia"/>
          <w:b/>
          <w:bCs/>
          <w:sz w:val="20"/>
          <w:szCs w:val="20"/>
        </w:rPr>
        <w:t>.</w:t>
      </w:r>
    </w:p>
    <w:p w14:paraId="262D1CD9" w14:textId="44AA4C08" w:rsidR="00550D9D" w:rsidRDefault="009643A5" w:rsidP="00550D9D">
      <w:pPr>
        <w:pStyle w:val="1"/>
        <w:numPr>
          <w:ilvl w:val="0"/>
          <w:numId w:val="0"/>
        </w:numPr>
        <w:ind w:left="425" w:hanging="425"/>
      </w:pPr>
      <w:r>
        <w:t>3</w:t>
      </w:r>
      <w:r w:rsidR="00550D9D">
        <w:t>. Conclusion &amp; Proposal</w:t>
      </w:r>
      <w:r w:rsidR="003101EA">
        <w:t>s</w:t>
      </w:r>
    </w:p>
    <w:bookmarkEnd w:id="6"/>
    <w:bookmarkEnd w:id="7"/>
    <w:p w14:paraId="59A7FB9E" w14:textId="77777777" w:rsidR="002F582B" w:rsidRDefault="002F582B" w:rsidP="002F582B">
      <w:pPr>
        <w:spacing w:before="120"/>
        <w:jc w:val="both"/>
        <w:rPr>
          <w:rFonts w:eastAsiaTheme="minorEastAsia"/>
          <w:b/>
          <w:bCs/>
          <w:sz w:val="20"/>
          <w:szCs w:val="20"/>
        </w:rPr>
      </w:pPr>
      <w:r>
        <w:rPr>
          <w:b/>
          <w:bCs/>
          <w:sz w:val="20"/>
          <w:szCs w:val="20"/>
          <w:u w:val="single"/>
        </w:rPr>
        <w:t>Proposal 1</w:t>
      </w:r>
      <w:r>
        <w:rPr>
          <w:b/>
          <w:bCs/>
          <w:sz w:val="20"/>
          <w:szCs w:val="20"/>
        </w:rPr>
        <w:t>: Shifted OOBE can be defined for any existing UE CBW up to the maximum CBW supported by UE.</w:t>
      </w:r>
    </w:p>
    <w:p w14:paraId="1C6CB351" w14:textId="77777777" w:rsidR="002F582B" w:rsidRDefault="002F582B" w:rsidP="002F582B">
      <w:pPr>
        <w:pStyle w:val="af4"/>
        <w:spacing w:before="120" w:after="120"/>
        <w:ind w:left="0"/>
        <w:rPr>
          <w:b/>
          <w:bCs/>
          <w:sz w:val="20"/>
          <w:szCs w:val="20"/>
        </w:rPr>
      </w:pPr>
      <w:r>
        <w:rPr>
          <w:b/>
          <w:bCs/>
          <w:sz w:val="20"/>
          <w:szCs w:val="20"/>
          <w:u w:val="single"/>
        </w:rPr>
        <w:t>Proposal 2</w:t>
      </w:r>
      <w:r>
        <w:rPr>
          <w:b/>
          <w:bCs/>
          <w:sz w:val="20"/>
          <w:szCs w:val="20"/>
        </w:rPr>
        <w:t xml:space="preserve">: If smaller values other than 0.5* UE CBW are specified, they should be limited to a maximum of 2 discrete points. </w:t>
      </w:r>
    </w:p>
    <w:p w14:paraId="2F65DEBD" w14:textId="77777777" w:rsidR="00B651BB" w:rsidRDefault="00B651BB" w:rsidP="00B651BB">
      <w:pPr>
        <w:spacing w:before="120"/>
        <w:jc w:val="both"/>
        <w:rPr>
          <w:rFonts w:eastAsiaTheme="minorEastAsia"/>
          <w:b/>
          <w:bCs/>
          <w:sz w:val="20"/>
          <w:szCs w:val="20"/>
        </w:rPr>
      </w:pPr>
      <w:r>
        <w:rPr>
          <w:rFonts w:eastAsiaTheme="minorEastAsia"/>
          <w:b/>
          <w:bCs/>
          <w:sz w:val="20"/>
          <w:szCs w:val="20"/>
          <w:u w:val="single"/>
        </w:rPr>
        <w:t>Proposal 3</w:t>
      </w:r>
      <w:r>
        <w:rPr>
          <w:rFonts w:eastAsiaTheme="minorEastAsia"/>
          <w:b/>
          <w:bCs/>
          <w:sz w:val="20"/>
          <w:szCs w:val="20"/>
        </w:rPr>
        <w:t>: Either 0.5 * CBW and ceil(0.5 * N</w:t>
      </w:r>
      <w:r>
        <w:rPr>
          <w:rFonts w:eastAsiaTheme="minorEastAsia"/>
          <w:b/>
          <w:bCs/>
          <w:sz w:val="20"/>
          <w:szCs w:val="20"/>
          <w:vertAlign w:val="subscript"/>
        </w:rPr>
        <w:t>RB</w:t>
      </w:r>
      <w:r>
        <w:rPr>
          <w:rFonts w:eastAsiaTheme="minorEastAsia"/>
          <w:b/>
          <w:bCs/>
          <w:sz w:val="20"/>
          <w:szCs w:val="20"/>
        </w:rPr>
        <w:t xml:space="preserve">) shift are acceptable to be adopted, with the following requirements applicable for </w:t>
      </w:r>
      <w:r>
        <w:rPr>
          <w:b/>
          <w:bCs/>
          <w:sz w:val="20"/>
          <w:szCs w:val="20"/>
        </w:rPr>
        <w:t>modulations of QPSK and 16QAM and for both DFT-S-OFDM and CP-OFDM waveforms for PC3 (with applicability for PC2 FFS)</w:t>
      </w:r>
      <w:r>
        <w:rPr>
          <w:rFonts w:eastAsiaTheme="minorEastAsia"/>
          <w:b/>
          <w:bCs/>
          <w:sz w:val="20"/>
          <w:szCs w:val="20"/>
        </w:rPr>
        <w:t>:</w:t>
      </w:r>
    </w:p>
    <w:p w14:paraId="721ED724" w14:textId="77777777" w:rsidR="00B651BB" w:rsidRDefault="00B651BB" w:rsidP="00263B0C">
      <w:pPr>
        <w:pStyle w:val="af4"/>
        <w:numPr>
          <w:ilvl w:val="0"/>
          <w:numId w:val="13"/>
        </w:numPr>
        <w:spacing w:before="120"/>
        <w:ind w:left="357" w:hanging="357"/>
        <w:jc w:val="both"/>
        <w:rPr>
          <w:rFonts w:eastAsiaTheme="minorEastAsia"/>
          <w:b/>
          <w:bCs/>
          <w:sz w:val="20"/>
          <w:szCs w:val="20"/>
        </w:rPr>
      </w:pPr>
      <w:r>
        <w:rPr>
          <w:rFonts w:eastAsiaTheme="minorEastAsia"/>
          <w:b/>
          <w:bCs/>
          <w:sz w:val="20"/>
          <w:szCs w:val="20"/>
        </w:rPr>
        <w:t>Maximum inner RB allocation of L</w:t>
      </w:r>
      <w:r>
        <w:rPr>
          <w:rFonts w:eastAsiaTheme="minorEastAsia"/>
          <w:b/>
          <w:bCs/>
          <w:sz w:val="20"/>
          <w:szCs w:val="20"/>
          <w:vertAlign w:val="subscript"/>
        </w:rPr>
        <w:t>CRB</w:t>
      </w:r>
      <w:r>
        <w:rPr>
          <w:rFonts w:eastAsiaTheme="minorEastAsia"/>
          <w:b/>
          <w:bCs/>
          <w:sz w:val="20"/>
          <w:szCs w:val="20"/>
        </w:rPr>
        <w:t xml:space="preserve"> = N</w:t>
      </w:r>
      <w:r>
        <w:rPr>
          <w:rFonts w:eastAsiaTheme="minorEastAsia"/>
          <w:b/>
          <w:bCs/>
          <w:sz w:val="20"/>
          <w:szCs w:val="20"/>
          <w:vertAlign w:val="subscript"/>
        </w:rPr>
        <w:t>RB</w:t>
      </w:r>
      <w:r>
        <w:rPr>
          <w:rFonts w:eastAsiaTheme="minorEastAsia"/>
          <w:b/>
          <w:bCs/>
          <w:sz w:val="20"/>
          <w:szCs w:val="20"/>
        </w:rPr>
        <w:t xml:space="preserve"> for symmetrical shift of 0.5* on each side, and L</w:t>
      </w:r>
      <w:r>
        <w:rPr>
          <w:rFonts w:eastAsiaTheme="minorEastAsia"/>
          <w:b/>
          <w:bCs/>
          <w:sz w:val="20"/>
          <w:szCs w:val="20"/>
          <w:vertAlign w:val="subscript"/>
        </w:rPr>
        <w:t>CRB</w:t>
      </w:r>
      <w:r>
        <w:rPr>
          <w:rFonts w:eastAsiaTheme="minorEastAsia"/>
          <w:b/>
          <w:bCs/>
          <w:sz w:val="20"/>
          <w:szCs w:val="20"/>
        </w:rPr>
        <w:t xml:space="preserve"> = 2*N</w:t>
      </w:r>
      <w:r>
        <w:rPr>
          <w:rFonts w:eastAsiaTheme="minorEastAsia"/>
          <w:b/>
          <w:bCs/>
          <w:sz w:val="20"/>
          <w:szCs w:val="20"/>
          <w:vertAlign w:val="subscript"/>
        </w:rPr>
        <w:t>RB</w:t>
      </w:r>
      <w:r>
        <w:rPr>
          <w:rFonts w:eastAsiaTheme="minorEastAsia"/>
          <w:b/>
          <w:bCs/>
          <w:sz w:val="20"/>
          <w:szCs w:val="20"/>
        </w:rPr>
        <w:t>/3 for an asymmetrical shift of 0.5* on one side and zero on the other side. Maximum inner RB allocation of L</w:t>
      </w:r>
      <w:r>
        <w:rPr>
          <w:rFonts w:eastAsiaTheme="minorEastAsia"/>
          <w:b/>
          <w:bCs/>
          <w:sz w:val="20"/>
          <w:szCs w:val="20"/>
          <w:vertAlign w:val="subscript"/>
        </w:rPr>
        <w:t>CRB</w:t>
      </w:r>
      <w:r>
        <w:rPr>
          <w:rFonts w:eastAsiaTheme="minorEastAsia"/>
          <w:b/>
          <w:bCs/>
          <w:sz w:val="20"/>
          <w:szCs w:val="20"/>
        </w:rPr>
        <w:t xml:space="preserve"> for any potential additional multiplier values smaller than 0.5*N</w:t>
      </w:r>
      <w:r>
        <w:rPr>
          <w:rFonts w:eastAsiaTheme="minorEastAsia"/>
          <w:b/>
          <w:bCs/>
          <w:sz w:val="20"/>
          <w:szCs w:val="20"/>
          <w:vertAlign w:val="subscript"/>
        </w:rPr>
        <w:t>RB</w:t>
      </w:r>
      <w:r>
        <w:rPr>
          <w:rFonts w:eastAsiaTheme="minorEastAsia"/>
          <w:b/>
          <w:bCs/>
          <w:sz w:val="20"/>
          <w:szCs w:val="20"/>
        </w:rPr>
        <w:t xml:space="preserve"> are FFS.</w:t>
      </w:r>
    </w:p>
    <w:p w14:paraId="24308228" w14:textId="77777777" w:rsidR="00B651BB" w:rsidRDefault="00B651BB" w:rsidP="00263B0C">
      <w:pPr>
        <w:pStyle w:val="af4"/>
        <w:numPr>
          <w:ilvl w:val="0"/>
          <w:numId w:val="13"/>
        </w:numPr>
        <w:spacing w:before="120"/>
        <w:ind w:left="357" w:hanging="357"/>
        <w:jc w:val="both"/>
        <w:rPr>
          <w:rFonts w:eastAsiaTheme="minorEastAsia"/>
          <w:b/>
          <w:bCs/>
          <w:sz w:val="20"/>
          <w:szCs w:val="20"/>
        </w:rPr>
      </w:pPr>
      <w:r>
        <w:rPr>
          <w:rFonts w:eastAsiaTheme="minorEastAsia"/>
          <w:b/>
          <w:bCs/>
          <w:sz w:val="20"/>
          <w:szCs w:val="20"/>
        </w:rPr>
        <w:t>If the 0.5*N</w:t>
      </w:r>
      <w:r>
        <w:rPr>
          <w:rFonts w:eastAsiaTheme="minorEastAsia"/>
          <w:b/>
          <w:bCs/>
          <w:sz w:val="20"/>
          <w:szCs w:val="20"/>
          <w:vertAlign w:val="subscript"/>
        </w:rPr>
        <w:t>RB</w:t>
      </w:r>
      <w:r>
        <w:rPr>
          <w:rFonts w:eastAsiaTheme="minorEastAsia"/>
          <w:b/>
          <w:bCs/>
          <w:sz w:val="20"/>
          <w:szCs w:val="20"/>
        </w:rPr>
        <w:t xml:space="preserve"> approach is selected, a guardband of the “original UE CBW” guardband should be added between the last RB of 0.5*N</w:t>
      </w:r>
      <w:r>
        <w:rPr>
          <w:rFonts w:eastAsiaTheme="minorEastAsia"/>
          <w:b/>
          <w:bCs/>
          <w:sz w:val="20"/>
          <w:szCs w:val="20"/>
          <w:vertAlign w:val="subscript"/>
        </w:rPr>
        <w:t>RB</w:t>
      </w:r>
      <w:r>
        <w:rPr>
          <w:rFonts w:eastAsiaTheme="minorEastAsia"/>
          <w:b/>
          <w:bCs/>
          <w:sz w:val="20"/>
          <w:szCs w:val="20"/>
        </w:rPr>
        <w:t xml:space="preserve"> and the start of the shifted OOBE region.</w:t>
      </w:r>
    </w:p>
    <w:p w14:paraId="15A5E73F" w14:textId="77777777" w:rsidR="00CA5CC9" w:rsidRDefault="00CA5CC9" w:rsidP="00312AFD">
      <w:pPr>
        <w:jc w:val="both"/>
        <w:rPr>
          <w:rFonts w:eastAsiaTheme="minorEastAsia"/>
          <w:sz w:val="20"/>
          <w:szCs w:val="20"/>
        </w:rPr>
      </w:pPr>
    </w:p>
    <w:p w14:paraId="251E5F68" w14:textId="77777777" w:rsidR="00B651BB" w:rsidRDefault="00B651BB" w:rsidP="00B651BB">
      <w:pPr>
        <w:spacing w:after="120"/>
        <w:jc w:val="both"/>
        <w:rPr>
          <w:rFonts w:eastAsiaTheme="minorEastAsia"/>
          <w:b/>
          <w:bCs/>
          <w:sz w:val="20"/>
          <w:szCs w:val="20"/>
        </w:rPr>
      </w:pPr>
      <w:r>
        <w:rPr>
          <w:rFonts w:eastAsiaTheme="minorEastAsia"/>
          <w:b/>
          <w:bCs/>
          <w:sz w:val="20"/>
          <w:szCs w:val="20"/>
          <w:u w:val="single"/>
        </w:rPr>
        <w:t>Proposal 4</w:t>
      </w:r>
      <w:r>
        <w:rPr>
          <w:rFonts w:eastAsiaTheme="minorEastAsia"/>
          <w:b/>
          <w:bCs/>
          <w:sz w:val="20"/>
          <w:szCs w:val="20"/>
        </w:rPr>
        <w:t>: Define the term in the specifications as “shifted OOBE” rather than “extended CBW”</w:t>
      </w:r>
    </w:p>
    <w:p w14:paraId="68DA5F5A" w14:textId="062F7938" w:rsidR="00403C72" w:rsidRDefault="00403C72" w:rsidP="00403C72">
      <w:pPr>
        <w:spacing w:after="120"/>
        <w:rPr>
          <w:b/>
          <w:bCs/>
          <w:sz w:val="20"/>
          <w:szCs w:val="20"/>
          <w:lang w:eastAsia="zh-CN"/>
        </w:rPr>
      </w:pPr>
      <w:r>
        <w:rPr>
          <w:b/>
          <w:bCs/>
          <w:sz w:val="20"/>
          <w:szCs w:val="20"/>
          <w:u w:val="single"/>
          <w:lang w:eastAsia="zh-CN"/>
        </w:rPr>
        <w:t>Proposal 5</w:t>
      </w:r>
      <w:r>
        <w:rPr>
          <w:b/>
          <w:bCs/>
          <w:sz w:val="20"/>
          <w:szCs w:val="20"/>
          <w:lang w:eastAsia="zh-CN"/>
        </w:rPr>
        <w:t>: Adopt Case 3 for IBE with IBE starting from the last allocated RB, unless there is clear evidence and explanation as to why inner RB allocation MPR cannot be achieved. If it is proven that inner RB allocation MPR cannot be achieved, then consider a relaxation as necessary.</w:t>
      </w:r>
      <w:r>
        <w:rPr>
          <w:rFonts w:asciiTheme="minorHAnsi" w:hAnsiTheme="minorHAnsi" w:cstheme="minorBidi"/>
          <w:b/>
          <w:bCs/>
          <w:kern w:val="2"/>
          <w:sz w:val="21"/>
          <w:szCs w:val="22"/>
          <w:lang w:eastAsia="zh-CN"/>
        </w:rPr>
        <w:t xml:space="preserve">                     </w:t>
      </w:r>
    </w:p>
    <w:p w14:paraId="0AC8E29B" w14:textId="77777777" w:rsidR="00B651BB" w:rsidRDefault="00B651BB" w:rsidP="00B651BB">
      <w:pPr>
        <w:spacing w:before="120" w:after="120"/>
        <w:rPr>
          <w:b/>
          <w:bCs/>
          <w:sz w:val="20"/>
          <w:szCs w:val="20"/>
        </w:rPr>
      </w:pPr>
      <w:r>
        <w:rPr>
          <w:b/>
          <w:bCs/>
          <w:sz w:val="20"/>
          <w:szCs w:val="20"/>
          <w:u w:val="single"/>
        </w:rPr>
        <w:t>Proposal 6</w:t>
      </w:r>
      <w:r>
        <w:rPr>
          <w:b/>
          <w:bCs/>
          <w:sz w:val="20"/>
          <w:szCs w:val="20"/>
        </w:rPr>
        <w:t xml:space="preserve">: Consider the example spec changes in this section as a starting point for modification to the MPR section of TS 38.101-1. </w:t>
      </w:r>
    </w:p>
    <w:p w14:paraId="4B61CB83" w14:textId="77777777" w:rsidR="00B651BB" w:rsidRDefault="00B651BB" w:rsidP="00B651BB">
      <w:pPr>
        <w:spacing w:before="120" w:after="120"/>
        <w:rPr>
          <w:b/>
          <w:bCs/>
          <w:sz w:val="20"/>
          <w:szCs w:val="20"/>
        </w:rPr>
      </w:pPr>
      <w:r>
        <w:rPr>
          <w:b/>
          <w:bCs/>
          <w:sz w:val="20"/>
          <w:szCs w:val="20"/>
          <w:u w:val="single"/>
        </w:rPr>
        <w:t>Proposal 7</w:t>
      </w:r>
      <w:r>
        <w:rPr>
          <w:b/>
          <w:bCs/>
          <w:sz w:val="20"/>
          <w:szCs w:val="20"/>
        </w:rPr>
        <w:t>: Request RAN2 to define UE specific RRC signalling to indicate to the UE whether shifted OOBE is permitted, including the following additional information and RRC parameters:</w:t>
      </w:r>
    </w:p>
    <w:p w14:paraId="01C946B9" w14:textId="77777777" w:rsidR="00B651BB" w:rsidRDefault="00B651BB" w:rsidP="00263B0C">
      <w:pPr>
        <w:pStyle w:val="af4"/>
        <w:numPr>
          <w:ilvl w:val="0"/>
          <w:numId w:val="15"/>
        </w:numPr>
        <w:spacing w:before="120" w:after="120"/>
        <w:rPr>
          <w:b/>
          <w:bCs/>
          <w:sz w:val="20"/>
          <w:szCs w:val="20"/>
        </w:rPr>
      </w:pPr>
      <w:r>
        <w:rPr>
          <w:b/>
          <w:bCs/>
          <w:sz w:val="20"/>
          <w:szCs w:val="20"/>
        </w:rPr>
        <w:t>Whether the shifted OOBE permitted is “symmetrical” or “asymmetrical”.</w:t>
      </w:r>
    </w:p>
    <w:p w14:paraId="21AACA6D" w14:textId="77777777" w:rsidR="00B651BB" w:rsidRDefault="00B651BB" w:rsidP="00263B0C">
      <w:pPr>
        <w:pStyle w:val="af4"/>
        <w:numPr>
          <w:ilvl w:val="1"/>
          <w:numId w:val="15"/>
        </w:numPr>
        <w:spacing w:before="120" w:after="120"/>
        <w:rPr>
          <w:b/>
          <w:bCs/>
          <w:sz w:val="20"/>
          <w:szCs w:val="20"/>
        </w:rPr>
      </w:pPr>
      <w:r>
        <w:rPr>
          <w:b/>
          <w:bCs/>
          <w:sz w:val="20"/>
          <w:szCs w:val="20"/>
        </w:rPr>
        <w:t>If symmetrical, default OOB shift multiplier value = 0.5</w:t>
      </w:r>
    </w:p>
    <w:p w14:paraId="30247950" w14:textId="77777777" w:rsidR="00B651BB" w:rsidRDefault="00B651BB" w:rsidP="00263B0C">
      <w:pPr>
        <w:pStyle w:val="af4"/>
        <w:numPr>
          <w:ilvl w:val="1"/>
          <w:numId w:val="15"/>
        </w:numPr>
        <w:spacing w:before="120" w:after="120"/>
        <w:rPr>
          <w:b/>
          <w:bCs/>
          <w:sz w:val="20"/>
          <w:szCs w:val="20"/>
        </w:rPr>
      </w:pPr>
      <w:r>
        <w:rPr>
          <w:b/>
          <w:bCs/>
          <w:sz w:val="20"/>
          <w:szCs w:val="20"/>
        </w:rPr>
        <w:t xml:space="preserve">If asymmetrical, a default 0.5 shift applies on one side, and zero on the other side. At least an indication of whether the shift applies to left or right side needed here. </w:t>
      </w:r>
    </w:p>
    <w:p w14:paraId="024EC802" w14:textId="77777777" w:rsidR="00B651BB" w:rsidRDefault="00B651BB" w:rsidP="00263B0C">
      <w:pPr>
        <w:pStyle w:val="af4"/>
        <w:numPr>
          <w:ilvl w:val="0"/>
          <w:numId w:val="15"/>
        </w:numPr>
        <w:spacing w:before="120" w:after="120"/>
        <w:rPr>
          <w:b/>
          <w:bCs/>
          <w:sz w:val="20"/>
          <w:szCs w:val="20"/>
        </w:rPr>
      </w:pPr>
      <w:r>
        <w:rPr>
          <w:b/>
          <w:bCs/>
          <w:sz w:val="20"/>
          <w:szCs w:val="20"/>
        </w:rPr>
        <w:t>If more multiplier values specified, then RAN4 needs to decide whether:</w:t>
      </w:r>
    </w:p>
    <w:p w14:paraId="235BB551" w14:textId="77777777" w:rsidR="00B651BB" w:rsidRDefault="00B651BB" w:rsidP="00263B0C">
      <w:pPr>
        <w:pStyle w:val="af4"/>
        <w:numPr>
          <w:ilvl w:val="1"/>
          <w:numId w:val="15"/>
        </w:numPr>
        <w:spacing w:before="120" w:after="120"/>
        <w:rPr>
          <w:b/>
          <w:bCs/>
          <w:sz w:val="20"/>
          <w:szCs w:val="20"/>
        </w:rPr>
      </w:pPr>
      <w:r>
        <w:rPr>
          <w:b/>
          <w:bCs/>
          <w:sz w:val="20"/>
          <w:szCs w:val="20"/>
        </w:rPr>
        <w:t>Different non-zero shifts may apply to both sides.</w:t>
      </w:r>
    </w:p>
    <w:p w14:paraId="1047ADF0" w14:textId="77777777" w:rsidR="00B651BB" w:rsidRDefault="00B651BB" w:rsidP="00263B0C">
      <w:pPr>
        <w:pStyle w:val="af4"/>
        <w:numPr>
          <w:ilvl w:val="1"/>
          <w:numId w:val="15"/>
        </w:numPr>
        <w:spacing w:before="120" w:after="120"/>
        <w:rPr>
          <w:b/>
          <w:bCs/>
          <w:sz w:val="20"/>
          <w:szCs w:val="20"/>
        </w:rPr>
      </w:pPr>
      <w:r>
        <w:rPr>
          <w:b/>
          <w:bCs/>
          <w:sz w:val="20"/>
          <w:szCs w:val="20"/>
        </w:rPr>
        <w:t>In such case, the explicit values of the shifts would need to be signalled for each side.</w:t>
      </w:r>
    </w:p>
    <w:p w14:paraId="28E87B93" w14:textId="77777777" w:rsidR="00B651BB" w:rsidRDefault="00B651BB" w:rsidP="00B651BB">
      <w:pPr>
        <w:spacing w:before="120" w:after="120"/>
        <w:rPr>
          <w:b/>
          <w:bCs/>
          <w:sz w:val="20"/>
          <w:szCs w:val="20"/>
        </w:rPr>
      </w:pPr>
      <w:r>
        <w:rPr>
          <w:b/>
          <w:bCs/>
          <w:sz w:val="20"/>
          <w:szCs w:val="20"/>
        </w:rPr>
        <w:t>The UE could also additionally verify that it is adhering to regulations.</w:t>
      </w:r>
    </w:p>
    <w:p w14:paraId="79D97065" w14:textId="54B7BCE6" w:rsidR="00B651BB" w:rsidRPr="00B651BB" w:rsidRDefault="00B651BB" w:rsidP="00B651BB">
      <w:pPr>
        <w:jc w:val="both"/>
        <w:rPr>
          <w:rFonts w:eastAsiaTheme="minorEastAsia"/>
          <w:b/>
          <w:bCs/>
          <w:sz w:val="20"/>
          <w:szCs w:val="20"/>
        </w:rPr>
      </w:pPr>
      <w:r w:rsidRPr="00B651BB">
        <w:rPr>
          <w:rFonts w:eastAsiaTheme="minorEastAsia"/>
          <w:b/>
          <w:bCs/>
          <w:sz w:val="20"/>
          <w:szCs w:val="20"/>
        </w:rPr>
        <w:t>Detailed RRC parameters</w:t>
      </w:r>
      <w:r>
        <w:rPr>
          <w:rFonts w:eastAsiaTheme="minorEastAsia"/>
          <w:b/>
          <w:bCs/>
          <w:sz w:val="20"/>
          <w:szCs w:val="20"/>
        </w:rPr>
        <w:t xml:space="preserve"> proposed</w:t>
      </w:r>
      <w:r w:rsidRPr="00B651BB">
        <w:rPr>
          <w:rFonts w:eastAsiaTheme="minorEastAsia"/>
          <w:b/>
          <w:bCs/>
          <w:sz w:val="20"/>
          <w:szCs w:val="20"/>
        </w:rPr>
        <w:t>:</w:t>
      </w:r>
    </w:p>
    <w:p w14:paraId="25B9C329" w14:textId="77777777" w:rsidR="00B651BB" w:rsidRDefault="00B651BB" w:rsidP="00B651BB">
      <w:pPr>
        <w:jc w:val="both"/>
        <w:rPr>
          <w:rFonts w:eastAsiaTheme="minorEastAsia"/>
          <w:b/>
          <w:bCs/>
          <w:sz w:val="20"/>
          <w:szCs w:val="20"/>
          <w:u w:val="single"/>
        </w:rPr>
      </w:pPr>
    </w:p>
    <w:tbl>
      <w:tblPr>
        <w:tblStyle w:val="a7"/>
        <w:tblW w:w="0" w:type="auto"/>
        <w:tblLook w:val="04A0" w:firstRow="1" w:lastRow="0" w:firstColumn="1" w:lastColumn="0" w:noHBand="0" w:noVBand="1"/>
      </w:tblPr>
      <w:tblGrid>
        <w:gridCol w:w="2116"/>
        <w:gridCol w:w="2156"/>
        <w:gridCol w:w="2139"/>
        <w:gridCol w:w="1764"/>
        <w:gridCol w:w="1454"/>
      </w:tblGrid>
      <w:tr w:rsidR="00B651BB" w14:paraId="36658F3B" w14:textId="77777777" w:rsidTr="00B651BB">
        <w:tc>
          <w:tcPr>
            <w:tcW w:w="2116" w:type="dxa"/>
            <w:tcBorders>
              <w:top w:val="single" w:sz="4" w:space="0" w:color="auto"/>
              <w:left w:val="single" w:sz="4" w:space="0" w:color="auto"/>
              <w:bottom w:val="single" w:sz="4" w:space="0" w:color="auto"/>
              <w:right w:val="single" w:sz="4" w:space="0" w:color="auto"/>
            </w:tcBorders>
            <w:hideMark/>
          </w:tcPr>
          <w:p w14:paraId="6280C818" w14:textId="77777777" w:rsidR="00B651BB" w:rsidRDefault="00B651BB">
            <w:pPr>
              <w:jc w:val="both"/>
              <w:rPr>
                <w:rFonts w:eastAsiaTheme="minorEastAsia"/>
                <w:b/>
                <w:bCs/>
                <w:sz w:val="20"/>
                <w:szCs w:val="20"/>
                <w:u w:val="single"/>
              </w:rPr>
            </w:pPr>
            <w:r>
              <w:rPr>
                <w:rFonts w:eastAsiaTheme="minorEastAsia"/>
                <w:b/>
                <w:bCs/>
                <w:sz w:val="20"/>
                <w:szCs w:val="20"/>
                <w:u w:val="single"/>
              </w:rPr>
              <w:t>Name</w:t>
            </w:r>
          </w:p>
        </w:tc>
        <w:tc>
          <w:tcPr>
            <w:tcW w:w="2156" w:type="dxa"/>
            <w:tcBorders>
              <w:top w:val="single" w:sz="4" w:space="0" w:color="auto"/>
              <w:left w:val="single" w:sz="4" w:space="0" w:color="auto"/>
              <w:bottom w:val="single" w:sz="4" w:space="0" w:color="auto"/>
              <w:right w:val="single" w:sz="4" w:space="0" w:color="auto"/>
            </w:tcBorders>
            <w:hideMark/>
          </w:tcPr>
          <w:p w14:paraId="01893683" w14:textId="77777777" w:rsidR="00B651BB" w:rsidRDefault="00B651BB">
            <w:pPr>
              <w:jc w:val="both"/>
              <w:rPr>
                <w:rFonts w:eastAsiaTheme="minorEastAsia"/>
                <w:b/>
                <w:bCs/>
                <w:sz w:val="20"/>
                <w:szCs w:val="20"/>
                <w:u w:val="single"/>
              </w:rPr>
            </w:pPr>
            <w:r>
              <w:rPr>
                <w:rFonts w:eastAsiaTheme="minorEastAsia"/>
                <w:b/>
                <w:bCs/>
                <w:sz w:val="20"/>
                <w:szCs w:val="20"/>
                <w:u w:val="single"/>
              </w:rPr>
              <w:t>Values</w:t>
            </w:r>
          </w:p>
        </w:tc>
        <w:tc>
          <w:tcPr>
            <w:tcW w:w="2139" w:type="dxa"/>
            <w:tcBorders>
              <w:top w:val="single" w:sz="4" w:space="0" w:color="auto"/>
              <w:left w:val="single" w:sz="4" w:space="0" w:color="auto"/>
              <w:bottom w:val="single" w:sz="4" w:space="0" w:color="auto"/>
              <w:right w:val="single" w:sz="4" w:space="0" w:color="auto"/>
            </w:tcBorders>
            <w:hideMark/>
          </w:tcPr>
          <w:p w14:paraId="07FCE163" w14:textId="77777777" w:rsidR="00B651BB" w:rsidRDefault="00B651BB">
            <w:pPr>
              <w:jc w:val="both"/>
              <w:rPr>
                <w:rFonts w:eastAsiaTheme="minorEastAsia"/>
                <w:b/>
                <w:bCs/>
                <w:sz w:val="20"/>
                <w:szCs w:val="20"/>
                <w:u w:val="single"/>
              </w:rPr>
            </w:pPr>
            <w:r>
              <w:rPr>
                <w:rFonts w:eastAsiaTheme="minorEastAsia"/>
                <w:b/>
                <w:bCs/>
                <w:sz w:val="20"/>
                <w:szCs w:val="20"/>
                <w:u w:val="single"/>
              </w:rPr>
              <w:t>Conditions</w:t>
            </w:r>
          </w:p>
        </w:tc>
        <w:tc>
          <w:tcPr>
            <w:tcW w:w="1764" w:type="dxa"/>
            <w:tcBorders>
              <w:top w:val="single" w:sz="4" w:space="0" w:color="auto"/>
              <w:left w:val="single" w:sz="4" w:space="0" w:color="auto"/>
              <w:bottom w:val="single" w:sz="4" w:space="0" w:color="auto"/>
              <w:right w:val="single" w:sz="4" w:space="0" w:color="auto"/>
            </w:tcBorders>
            <w:hideMark/>
          </w:tcPr>
          <w:p w14:paraId="0B5F4360" w14:textId="77777777" w:rsidR="00B651BB" w:rsidRDefault="00B651BB">
            <w:pPr>
              <w:jc w:val="both"/>
              <w:rPr>
                <w:rFonts w:eastAsiaTheme="minorEastAsia"/>
                <w:b/>
                <w:bCs/>
                <w:sz w:val="20"/>
                <w:szCs w:val="20"/>
                <w:u w:val="single"/>
              </w:rPr>
            </w:pPr>
            <w:r>
              <w:rPr>
                <w:rFonts w:eastAsiaTheme="minorEastAsia"/>
                <w:b/>
                <w:bCs/>
                <w:sz w:val="20"/>
                <w:szCs w:val="20"/>
                <w:u w:val="single"/>
              </w:rPr>
              <w:t>Comments</w:t>
            </w:r>
          </w:p>
        </w:tc>
        <w:tc>
          <w:tcPr>
            <w:tcW w:w="1454" w:type="dxa"/>
            <w:tcBorders>
              <w:top w:val="single" w:sz="4" w:space="0" w:color="auto"/>
              <w:left w:val="single" w:sz="4" w:space="0" w:color="auto"/>
              <w:bottom w:val="single" w:sz="4" w:space="0" w:color="auto"/>
              <w:right w:val="single" w:sz="4" w:space="0" w:color="auto"/>
            </w:tcBorders>
            <w:hideMark/>
          </w:tcPr>
          <w:p w14:paraId="60A85F86" w14:textId="77777777" w:rsidR="00B651BB" w:rsidRDefault="00B651BB">
            <w:pPr>
              <w:jc w:val="both"/>
              <w:rPr>
                <w:rFonts w:eastAsiaTheme="minorEastAsia"/>
                <w:b/>
                <w:bCs/>
                <w:sz w:val="20"/>
                <w:szCs w:val="20"/>
                <w:u w:val="single"/>
              </w:rPr>
            </w:pPr>
            <w:r>
              <w:rPr>
                <w:rFonts w:eastAsiaTheme="minorEastAsia"/>
                <w:b/>
                <w:bCs/>
                <w:sz w:val="20"/>
                <w:szCs w:val="20"/>
                <w:u w:val="single"/>
              </w:rPr>
              <w:t>UE or cell specific</w:t>
            </w:r>
          </w:p>
        </w:tc>
      </w:tr>
      <w:tr w:rsidR="00B651BB" w14:paraId="5ECCFA39" w14:textId="77777777" w:rsidTr="00B651BB">
        <w:tc>
          <w:tcPr>
            <w:tcW w:w="2116" w:type="dxa"/>
            <w:tcBorders>
              <w:top w:val="single" w:sz="4" w:space="0" w:color="auto"/>
              <w:left w:val="single" w:sz="4" w:space="0" w:color="auto"/>
              <w:bottom w:val="single" w:sz="4" w:space="0" w:color="auto"/>
              <w:right w:val="single" w:sz="4" w:space="0" w:color="auto"/>
            </w:tcBorders>
            <w:hideMark/>
          </w:tcPr>
          <w:p w14:paraId="713489AC" w14:textId="77777777" w:rsidR="00B651BB" w:rsidRDefault="00B651BB">
            <w:pPr>
              <w:rPr>
                <w:rFonts w:eastAsiaTheme="minorEastAsia"/>
                <w:b/>
                <w:bCs/>
                <w:sz w:val="20"/>
                <w:szCs w:val="20"/>
              </w:rPr>
            </w:pPr>
            <w:r>
              <w:rPr>
                <w:rFonts w:eastAsiaTheme="minorEastAsia"/>
                <w:b/>
                <w:bCs/>
                <w:sz w:val="20"/>
                <w:szCs w:val="20"/>
              </w:rPr>
              <w:t>permittedShifted OOBE-Type</w:t>
            </w:r>
          </w:p>
        </w:tc>
        <w:tc>
          <w:tcPr>
            <w:tcW w:w="2156" w:type="dxa"/>
            <w:tcBorders>
              <w:top w:val="single" w:sz="4" w:space="0" w:color="auto"/>
              <w:left w:val="single" w:sz="4" w:space="0" w:color="auto"/>
              <w:bottom w:val="single" w:sz="4" w:space="0" w:color="auto"/>
              <w:right w:val="single" w:sz="4" w:space="0" w:color="auto"/>
            </w:tcBorders>
            <w:hideMark/>
          </w:tcPr>
          <w:p w14:paraId="07927104" w14:textId="77777777" w:rsidR="00B651BB" w:rsidRDefault="00B651BB">
            <w:pPr>
              <w:rPr>
                <w:rFonts w:eastAsiaTheme="minorEastAsia"/>
                <w:b/>
                <w:bCs/>
                <w:sz w:val="20"/>
                <w:szCs w:val="20"/>
              </w:rPr>
            </w:pPr>
            <w:r>
              <w:rPr>
                <w:rFonts w:eastAsiaTheme="minorEastAsia"/>
                <w:b/>
                <w:bCs/>
                <w:sz w:val="20"/>
                <w:szCs w:val="20"/>
              </w:rPr>
              <w:t>CHOICE (Symmetrical, Asymmetrical)</w:t>
            </w:r>
          </w:p>
        </w:tc>
        <w:tc>
          <w:tcPr>
            <w:tcW w:w="2139" w:type="dxa"/>
            <w:tcBorders>
              <w:top w:val="single" w:sz="4" w:space="0" w:color="auto"/>
              <w:left w:val="single" w:sz="4" w:space="0" w:color="auto"/>
              <w:bottom w:val="single" w:sz="4" w:space="0" w:color="auto"/>
              <w:right w:val="single" w:sz="4" w:space="0" w:color="auto"/>
            </w:tcBorders>
          </w:tcPr>
          <w:p w14:paraId="18065EBA" w14:textId="77777777" w:rsidR="00B651BB" w:rsidRDefault="00B651BB">
            <w:pPr>
              <w:rPr>
                <w:rFonts w:eastAsiaTheme="minorEastAsia"/>
                <w:b/>
                <w:bCs/>
                <w:sz w:val="20"/>
                <w:szCs w:val="20"/>
              </w:rPr>
            </w:pPr>
          </w:p>
        </w:tc>
        <w:tc>
          <w:tcPr>
            <w:tcW w:w="1764" w:type="dxa"/>
            <w:tcBorders>
              <w:top w:val="single" w:sz="4" w:space="0" w:color="auto"/>
              <w:left w:val="single" w:sz="4" w:space="0" w:color="auto"/>
              <w:bottom w:val="single" w:sz="4" w:space="0" w:color="auto"/>
              <w:right w:val="single" w:sz="4" w:space="0" w:color="auto"/>
            </w:tcBorders>
            <w:hideMark/>
          </w:tcPr>
          <w:p w14:paraId="476CC8DB" w14:textId="77777777" w:rsidR="00B651BB" w:rsidRDefault="00B651BB">
            <w:pPr>
              <w:rPr>
                <w:rFonts w:eastAsiaTheme="minorEastAsia"/>
                <w:b/>
                <w:bCs/>
                <w:sz w:val="20"/>
                <w:szCs w:val="20"/>
              </w:rPr>
            </w:pPr>
            <w:r>
              <w:rPr>
                <w:rFonts w:eastAsiaTheme="minorEastAsia"/>
                <w:b/>
                <w:bCs/>
                <w:sz w:val="20"/>
                <w:szCs w:val="20"/>
              </w:rPr>
              <w:t>Default shift value = 0.5*.</w:t>
            </w:r>
          </w:p>
        </w:tc>
        <w:tc>
          <w:tcPr>
            <w:tcW w:w="1454" w:type="dxa"/>
            <w:tcBorders>
              <w:top w:val="single" w:sz="4" w:space="0" w:color="auto"/>
              <w:left w:val="single" w:sz="4" w:space="0" w:color="auto"/>
              <w:bottom w:val="single" w:sz="4" w:space="0" w:color="auto"/>
              <w:right w:val="single" w:sz="4" w:space="0" w:color="auto"/>
            </w:tcBorders>
            <w:hideMark/>
          </w:tcPr>
          <w:p w14:paraId="336257BF" w14:textId="77777777" w:rsidR="00B651BB" w:rsidRDefault="00B651BB">
            <w:pPr>
              <w:rPr>
                <w:rFonts w:eastAsiaTheme="minorEastAsia"/>
                <w:b/>
                <w:bCs/>
                <w:sz w:val="20"/>
                <w:szCs w:val="20"/>
              </w:rPr>
            </w:pPr>
            <w:r>
              <w:rPr>
                <w:rFonts w:eastAsiaTheme="minorEastAsia"/>
                <w:b/>
                <w:bCs/>
                <w:sz w:val="20"/>
                <w:szCs w:val="20"/>
              </w:rPr>
              <w:t>UE specific</w:t>
            </w:r>
          </w:p>
        </w:tc>
      </w:tr>
      <w:tr w:rsidR="00B651BB" w14:paraId="6829B69B" w14:textId="77777777" w:rsidTr="00B651BB">
        <w:tc>
          <w:tcPr>
            <w:tcW w:w="2116" w:type="dxa"/>
            <w:tcBorders>
              <w:top w:val="single" w:sz="4" w:space="0" w:color="auto"/>
              <w:left w:val="single" w:sz="4" w:space="0" w:color="auto"/>
              <w:bottom w:val="single" w:sz="4" w:space="0" w:color="auto"/>
              <w:right w:val="single" w:sz="4" w:space="0" w:color="auto"/>
            </w:tcBorders>
            <w:hideMark/>
          </w:tcPr>
          <w:p w14:paraId="78A8539D" w14:textId="77777777" w:rsidR="00B651BB" w:rsidRDefault="00B651BB">
            <w:pPr>
              <w:rPr>
                <w:rFonts w:eastAsiaTheme="minorEastAsia"/>
                <w:b/>
                <w:bCs/>
                <w:sz w:val="20"/>
                <w:szCs w:val="20"/>
              </w:rPr>
            </w:pPr>
            <w:r>
              <w:rPr>
                <w:rFonts w:eastAsiaTheme="minorEastAsia"/>
                <w:b/>
                <w:bCs/>
                <w:sz w:val="20"/>
                <w:szCs w:val="20"/>
              </w:rPr>
              <w:t>asymmetricalShifted OOBE-Applicability</w:t>
            </w:r>
          </w:p>
        </w:tc>
        <w:tc>
          <w:tcPr>
            <w:tcW w:w="2156" w:type="dxa"/>
            <w:tcBorders>
              <w:top w:val="single" w:sz="4" w:space="0" w:color="auto"/>
              <w:left w:val="single" w:sz="4" w:space="0" w:color="auto"/>
              <w:bottom w:val="single" w:sz="4" w:space="0" w:color="auto"/>
              <w:right w:val="single" w:sz="4" w:space="0" w:color="auto"/>
            </w:tcBorders>
            <w:hideMark/>
          </w:tcPr>
          <w:p w14:paraId="6C9CB85A" w14:textId="77777777" w:rsidR="00B651BB" w:rsidRDefault="00B651BB">
            <w:pPr>
              <w:rPr>
                <w:rFonts w:eastAsiaTheme="minorEastAsia"/>
                <w:b/>
                <w:bCs/>
                <w:sz w:val="20"/>
                <w:szCs w:val="20"/>
              </w:rPr>
            </w:pPr>
            <w:r>
              <w:rPr>
                <w:rFonts w:eastAsiaTheme="minorEastAsia"/>
                <w:b/>
                <w:bCs/>
                <w:sz w:val="20"/>
                <w:szCs w:val="20"/>
              </w:rPr>
              <w:t>CHOICE (Left side, Right side)</w:t>
            </w:r>
          </w:p>
        </w:tc>
        <w:tc>
          <w:tcPr>
            <w:tcW w:w="2139" w:type="dxa"/>
            <w:tcBorders>
              <w:top w:val="single" w:sz="4" w:space="0" w:color="auto"/>
              <w:left w:val="single" w:sz="4" w:space="0" w:color="auto"/>
              <w:bottom w:val="single" w:sz="4" w:space="0" w:color="auto"/>
              <w:right w:val="single" w:sz="4" w:space="0" w:color="auto"/>
            </w:tcBorders>
            <w:hideMark/>
          </w:tcPr>
          <w:p w14:paraId="53593A86" w14:textId="77777777" w:rsidR="00B651BB" w:rsidRDefault="00B651BB">
            <w:pPr>
              <w:rPr>
                <w:rFonts w:eastAsiaTheme="minorEastAsia"/>
                <w:b/>
                <w:bCs/>
                <w:sz w:val="20"/>
                <w:szCs w:val="20"/>
              </w:rPr>
            </w:pPr>
            <w:r>
              <w:rPr>
                <w:rFonts w:eastAsiaTheme="minorEastAsia"/>
                <w:b/>
                <w:bCs/>
                <w:sz w:val="20"/>
                <w:szCs w:val="20"/>
              </w:rPr>
              <w:t>Ignored by UE if permittedShifted OOBE-Type value = “Symmetrical”</w:t>
            </w:r>
          </w:p>
        </w:tc>
        <w:tc>
          <w:tcPr>
            <w:tcW w:w="1764" w:type="dxa"/>
            <w:tcBorders>
              <w:top w:val="single" w:sz="4" w:space="0" w:color="auto"/>
              <w:left w:val="single" w:sz="4" w:space="0" w:color="auto"/>
              <w:bottom w:val="single" w:sz="4" w:space="0" w:color="auto"/>
              <w:right w:val="single" w:sz="4" w:space="0" w:color="auto"/>
            </w:tcBorders>
            <w:hideMark/>
          </w:tcPr>
          <w:p w14:paraId="2126FAD4" w14:textId="77777777" w:rsidR="00B651BB" w:rsidRDefault="00B651BB">
            <w:pPr>
              <w:rPr>
                <w:rFonts w:eastAsiaTheme="minorEastAsia"/>
                <w:b/>
                <w:bCs/>
                <w:sz w:val="20"/>
                <w:szCs w:val="20"/>
              </w:rPr>
            </w:pPr>
            <w:r>
              <w:rPr>
                <w:rFonts w:eastAsiaTheme="minorEastAsia"/>
                <w:b/>
                <w:bCs/>
                <w:sz w:val="20"/>
                <w:szCs w:val="20"/>
              </w:rPr>
              <w:t>Default shift value = 0.5*</w:t>
            </w:r>
          </w:p>
        </w:tc>
        <w:tc>
          <w:tcPr>
            <w:tcW w:w="1454" w:type="dxa"/>
            <w:tcBorders>
              <w:top w:val="single" w:sz="4" w:space="0" w:color="auto"/>
              <w:left w:val="single" w:sz="4" w:space="0" w:color="auto"/>
              <w:bottom w:val="single" w:sz="4" w:space="0" w:color="auto"/>
              <w:right w:val="single" w:sz="4" w:space="0" w:color="auto"/>
            </w:tcBorders>
            <w:hideMark/>
          </w:tcPr>
          <w:p w14:paraId="6F7149D0" w14:textId="77777777" w:rsidR="00B651BB" w:rsidRDefault="00B651BB">
            <w:pPr>
              <w:rPr>
                <w:rFonts w:eastAsiaTheme="minorEastAsia"/>
                <w:b/>
                <w:bCs/>
                <w:sz w:val="20"/>
                <w:szCs w:val="20"/>
              </w:rPr>
            </w:pPr>
            <w:r>
              <w:rPr>
                <w:rFonts w:eastAsiaTheme="minorEastAsia"/>
                <w:b/>
                <w:bCs/>
                <w:sz w:val="20"/>
                <w:szCs w:val="20"/>
              </w:rPr>
              <w:t>UE specific</w:t>
            </w:r>
          </w:p>
        </w:tc>
      </w:tr>
      <w:tr w:rsidR="00B651BB" w14:paraId="06115A58" w14:textId="77777777" w:rsidTr="00B651BB">
        <w:tc>
          <w:tcPr>
            <w:tcW w:w="2116" w:type="dxa"/>
            <w:tcBorders>
              <w:top w:val="single" w:sz="4" w:space="0" w:color="auto"/>
              <w:left w:val="single" w:sz="4" w:space="0" w:color="auto"/>
              <w:bottom w:val="single" w:sz="4" w:space="0" w:color="auto"/>
              <w:right w:val="single" w:sz="4" w:space="0" w:color="auto"/>
            </w:tcBorders>
            <w:hideMark/>
          </w:tcPr>
          <w:p w14:paraId="234F56DD" w14:textId="77777777" w:rsidR="00B651BB" w:rsidRDefault="00B651BB">
            <w:pPr>
              <w:jc w:val="both"/>
              <w:rPr>
                <w:rFonts w:eastAsiaTheme="minorEastAsia"/>
                <w:b/>
                <w:bCs/>
                <w:sz w:val="20"/>
                <w:szCs w:val="20"/>
              </w:rPr>
            </w:pPr>
            <w:r>
              <w:rPr>
                <w:rFonts w:eastAsiaTheme="minorEastAsia"/>
                <w:b/>
                <w:bCs/>
                <w:sz w:val="20"/>
                <w:szCs w:val="20"/>
              </w:rPr>
              <w:t>FFS other parameters and whether this changes the structure above</w:t>
            </w:r>
          </w:p>
        </w:tc>
        <w:tc>
          <w:tcPr>
            <w:tcW w:w="2156" w:type="dxa"/>
            <w:tcBorders>
              <w:top w:val="single" w:sz="4" w:space="0" w:color="auto"/>
              <w:left w:val="single" w:sz="4" w:space="0" w:color="auto"/>
              <w:bottom w:val="single" w:sz="4" w:space="0" w:color="auto"/>
              <w:right w:val="single" w:sz="4" w:space="0" w:color="auto"/>
            </w:tcBorders>
          </w:tcPr>
          <w:p w14:paraId="35C42E1C" w14:textId="77777777" w:rsidR="00B651BB" w:rsidRDefault="00B651BB">
            <w:pPr>
              <w:jc w:val="both"/>
              <w:rPr>
                <w:rFonts w:eastAsiaTheme="minorEastAsia"/>
                <w:b/>
                <w:bCs/>
                <w:sz w:val="20"/>
                <w:szCs w:val="20"/>
                <w:u w:val="single"/>
              </w:rPr>
            </w:pPr>
          </w:p>
        </w:tc>
        <w:tc>
          <w:tcPr>
            <w:tcW w:w="2139" w:type="dxa"/>
            <w:tcBorders>
              <w:top w:val="single" w:sz="4" w:space="0" w:color="auto"/>
              <w:left w:val="single" w:sz="4" w:space="0" w:color="auto"/>
              <w:bottom w:val="single" w:sz="4" w:space="0" w:color="auto"/>
              <w:right w:val="single" w:sz="4" w:space="0" w:color="auto"/>
            </w:tcBorders>
          </w:tcPr>
          <w:p w14:paraId="4229A923" w14:textId="77777777" w:rsidR="00B651BB" w:rsidRDefault="00B651BB">
            <w:pPr>
              <w:jc w:val="both"/>
              <w:rPr>
                <w:rFonts w:eastAsiaTheme="minorEastAsia"/>
                <w:b/>
                <w:bCs/>
                <w:sz w:val="20"/>
                <w:szCs w:val="20"/>
                <w:u w:val="single"/>
              </w:rPr>
            </w:pPr>
          </w:p>
        </w:tc>
        <w:tc>
          <w:tcPr>
            <w:tcW w:w="1764" w:type="dxa"/>
            <w:tcBorders>
              <w:top w:val="single" w:sz="4" w:space="0" w:color="auto"/>
              <w:left w:val="single" w:sz="4" w:space="0" w:color="auto"/>
              <w:bottom w:val="single" w:sz="4" w:space="0" w:color="auto"/>
              <w:right w:val="single" w:sz="4" w:space="0" w:color="auto"/>
            </w:tcBorders>
          </w:tcPr>
          <w:p w14:paraId="534A69B2" w14:textId="77777777" w:rsidR="00B651BB" w:rsidRDefault="00B651BB">
            <w:pPr>
              <w:jc w:val="both"/>
              <w:rPr>
                <w:rFonts w:eastAsiaTheme="minorEastAsia"/>
                <w:b/>
                <w:bCs/>
                <w:sz w:val="20"/>
                <w:szCs w:val="20"/>
                <w:u w:val="single"/>
              </w:rPr>
            </w:pPr>
          </w:p>
        </w:tc>
        <w:tc>
          <w:tcPr>
            <w:tcW w:w="1454" w:type="dxa"/>
            <w:tcBorders>
              <w:top w:val="single" w:sz="4" w:space="0" w:color="auto"/>
              <w:left w:val="single" w:sz="4" w:space="0" w:color="auto"/>
              <w:bottom w:val="single" w:sz="4" w:space="0" w:color="auto"/>
              <w:right w:val="single" w:sz="4" w:space="0" w:color="auto"/>
            </w:tcBorders>
          </w:tcPr>
          <w:p w14:paraId="68C5C487" w14:textId="77777777" w:rsidR="00B651BB" w:rsidRDefault="00B651BB">
            <w:pPr>
              <w:jc w:val="both"/>
              <w:rPr>
                <w:rFonts w:eastAsiaTheme="minorEastAsia"/>
                <w:b/>
                <w:bCs/>
                <w:sz w:val="20"/>
                <w:szCs w:val="20"/>
                <w:u w:val="single"/>
              </w:rPr>
            </w:pPr>
          </w:p>
        </w:tc>
      </w:tr>
    </w:tbl>
    <w:p w14:paraId="202F3743" w14:textId="77777777" w:rsidR="00B651BB" w:rsidRDefault="00B651BB" w:rsidP="00B651BB">
      <w:pPr>
        <w:jc w:val="both"/>
        <w:rPr>
          <w:rFonts w:eastAsiaTheme="minorEastAsia"/>
          <w:sz w:val="20"/>
          <w:szCs w:val="20"/>
        </w:rPr>
      </w:pPr>
    </w:p>
    <w:p w14:paraId="4E67C22E" w14:textId="77777777" w:rsidR="00B651BB" w:rsidRDefault="00B651BB" w:rsidP="00B651BB">
      <w:pPr>
        <w:jc w:val="both"/>
        <w:rPr>
          <w:rFonts w:eastAsiaTheme="minorEastAsia"/>
          <w:b/>
          <w:bCs/>
          <w:sz w:val="20"/>
          <w:szCs w:val="20"/>
        </w:rPr>
      </w:pPr>
      <w:r>
        <w:rPr>
          <w:rFonts w:eastAsiaTheme="minorEastAsia"/>
          <w:b/>
          <w:bCs/>
          <w:sz w:val="20"/>
          <w:szCs w:val="20"/>
          <w:u w:val="single"/>
        </w:rPr>
        <w:t>Proposal 8</w:t>
      </w:r>
      <w:r>
        <w:rPr>
          <w:rFonts w:eastAsiaTheme="minorEastAsia"/>
          <w:b/>
          <w:bCs/>
          <w:sz w:val="20"/>
          <w:szCs w:val="20"/>
        </w:rPr>
        <w:t>: RAN4 to decide whether Dedicated Channel Bandwidth configuration is a pre-requisite.</w:t>
      </w:r>
    </w:p>
    <w:p w14:paraId="6061276D" w14:textId="3A0B448C" w:rsidR="00B651BB" w:rsidRDefault="00B651BB" w:rsidP="00B651BB">
      <w:pPr>
        <w:spacing w:before="120"/>
        <w:jc w:val="both"/>
        <w:rPr>
          <w:rFonts w:eastAsiaTheme="minorEastAsia"/>
          <w:b/>
          <w:bCs/>
          <w:sz w:val="20"/>
          <w:szCs w:val="20"/>
          <w:u w:val="single"/>
        </w:rPr>
      </w:pPr>
      <w:r>
        <w:rPr>
          <w:rFonts w:eastAsiaTheme="minorEastAsia"/>
          <w:b/>
          <w:bCs/>
          <w:sz w:val="20"/>
          <w:szCs w:val="20"/>
          <w:u w:val="single"/>
        </w:rPr>
        <w:t>Proposal 9</w:t>
      </w:r>
      <w:r>
        <w:rPr>
          <w:rFonts w:eastAsiaTheme="minorEastAsia"/>
          <w:b/>
          <w:bCs/>
          <w:sz w:val="20"/>
          <w:szCs w:val="20"/>
        </w:rPr>
        <w:t>: Define 0.5* shift as the default capability for the supported feature. If additional shifts of &lt;0.5* are specified, then define separate UE capability(ies) for additional shifts.</w:t>
      </w:r>
    </w:p>
    <w:p w14:paraId="0A325FD6" w14:textId="77777777" w:rsidR="00B651BB" w:rsidRDefault="00B651BB" w:rsidP="00B651BB">
      <w:pPr>
        <w:spacing w:before="120"/>
        <w:jc w:val="both"/>
        <w:rPr>
          <w:rFonts w:eastAsiaTheme="minorEastAsia"/>
          <w:b/>
          <w:bCs/>
          <w:sz w:val="20"/>
          <w:szCs w:val="20"/>
        </w:rPr>
      </w:pPr>
      <w:r>
        <w:rPr>
          <w:rFonts w:eastAsiaTheme="minorEastAsia"/>
          <w:b/>
          <w:bCs/>
          <w:sz w:val="20"/>
          <w:szCs w:val="20"/>
          <w:u w:val="single"/>
        </w:rPr>
        <w:t>Proposal 10</w:t>
      </w:r>
      <w:r>
        <w:rPr>
          <w:rFonts w:eastAsiaTheme="minorEastAsia"/>
          <w:b/>
          <w:bCs/>
          <w:sz w:val="20"/>
          <w:szCs w:val="20"/>
        </w:rPr>
        <w:t>: Discuss further until RAN4#116 whether to apply also this feature also for PC2.</w:t>
      </w:r>
    </w:p>
    <w:p w14:paraId="48072EF5" w14:textId="77777777" w:rsidR="00B651BB" w:rsidRPr="006D6772" w:rsidRDefault="00B651BB" w:rsidP="00312AFD">
      <w:pPr>
        <w:jc w:val="both"/>
        <w:rPr>
          <w:rFonts w:eastAsiaTheme="minorEastAsia"/>
          <w:sz w:val="20"/>
          <w:szCs w:val="20"/>
        </w:rPr>
      </w:pPr>
    </w:p>
    <w:p w14:paraId="38A39E7E" w14:textId="5CE338CC" w:rsidR="004D6C7F" w:rsidRPr="00F71F2D" w:rsidRDefault="009643A5" w:rsidP="00341FC7">
      <w:pPr>
        <w:pStyle w:val="1"/>
        <w:numPr>
          <w:ilvl w:val="0"/>
          <w:numId w:val="0"/>
        </w:numPr>
        <w:ind w:left="425" w:hanging="425"/>
        <w:jc w:val="both"/>
        <w:rPr>
          <w:rFonts w:cs="Arial"/>
        </w:rPr>
      </w:pPr>
      <w:r>
        <w:rPr>
          <w:rFonts w:cs="Arial"/>
        </w:rPr>
        <w:t>4</w:t>
      </w:r>
      <w:r w:rsidR="00745375">
        <w:rPr>
          <w:rFonts w:cs="Arial"/>
        </w:rPr>
        <w:t xml:space="preserve">. </w:t>
      </w:r>
      <w:r w:rsidR="00593015">
        <w:rPr>
          <w:rFonts w:cs="Arial"/>
        </w:rPr>
        <w:t>Reference</w:t>
      </w:r>
      <w:r w:rsidR="007B484D">
        <w:rPr>
          <w:rFonts w:cs="Arial"/>
        </w:rPr>
        <w:t>s</w:t>
      </w:r>
      <w:r w:rsidR="00745375">
        <w:rPr>
          <w:rFonts w:cs="Arial"/>
        </w:rPr>
        <w:t xml:space="preserve"> </w:t>
      </w:r>
    </w:p>
    <w:p w14:paraId="364DC196" w14:textId="2CBD3A60" w:rsidR="008A1395" w:rsidRDefault="008F12F9" w:rsidP="004A34B4">
      <w:pPr>
        <w:numPr>
          <w:ilvl w:val="0"/>
          <w:numId w:val="3"/>
        </w:numPr>
        <w:spacing w:after="120"/>
        <w:ind w:left="357" w:hanging="357"/>
        <w:jc w:val="both"/>
        <w:rPr>
          <w:rFonts w:eastAsiaTheme="minorEastAsia"/>
          <w:sz w:val="20"/>
          <w:szCs w:val="20"/>
        </w:rPr>
      </w:pPr>
      <w:r w:rsidRPr="008F12F9">
        <w:rPr>
          <w:sz w:val="20"/>
          <w:szCs w:val="20"/>
        </w:rPr>
        <w:t>R4-2</w:t>
      </w:r>
      <w:r w:rsidR="00D71F96">
        <w:rPr>
          <w:sz w:val="20"/>
          <w:szCs w:val="20"/>
        </w:rPr>
        <w:t>5</w:t>
      </w:r>
      <w:r w:rsidRPr="008F12F9">
        <w:rPr>
          <w:sz w:val="20"/>
          <w:szCs w:val="20"/>
        </w:rPr>
        <w:t>0</w:t>
      </w:r>
      <w:r w:rsidR="00166FA7">
        <w:rPr>
          <w:sz w:val="20"/>
          <w:szCs w:val="20"/>
        </w:rPr>
        <w:t>5099</w:t>
      </w:r>
      <w:r w:rsidR="000D2243" w:rsidRPr="00515E6F">
        <w:rPr>
          <w:sz w:val="20"/>
          <w:szCs w:val="20"/>
        </w:rPr>
        <w:t>, “</w:t>
      </w:r>
      <w:r w:rsidR="00D8764B" w:rsidRPr="00515E6F">
        <w:rPr>
          <w:sz w:val="20"/>
          <w:szCs w:val="20"/>
        </w:rPr>
        <w:t>WF on power domain enhancements”</w:t>
      </w:r>
      <w:r w:rsidR="000D2243" w:rsidRPr="00515E6F">
        <w:rPr>
          <w:sz w:val="20"/>
          <w:szCs w:val="20"/>
        </w:rPr>
        <w:t xml:space="preserve">, </w:t>
      </w:r>
      <w:r w:rsidR="00CA2109">
        <w:rPr>
          <w:sz w:val="20"/>
          <w:szCs w:val="20"/>
        </w:rPr>
        <w:t>Moderator (</w:t>
      </w:r>
      <w:r w:rsidR="00A56A9F" w:rsidRPr="00515E6F">
        <w:rPr>
          <w:sz w:val="20"/>
          <w:szCs w:val="20"/>
        </w:rPr>
        <w:t>Huawei</w:t>
      </w:r>
      <w:r w:rsidR="00CA2109">
        <w:rPr>
          <w:sz w:val="20"/>
          <w:szCs w:val="20"/>
        </w:rPr>
        <w:t>)</w:t>
      </w:r>
      <w:r w:rsidR="008A1395" w:rsidRPr="00515E6F">
        <w:rPr>
          <w:rFonts w:eastAsiaTheme="minorEastAsia"/>
          <w:sz w:val="20"/>
          <w:szCs w:val="20"/>
        </w:rPr>
        <w:t xml:space="preserve"> </w:t>
      </w:r>
    </w:p>
    <w:p w14:paraId="6606B0A5" w14:textId="41A8C50D" w:rsidR="00166FA7" w:rsidRPr="004E7FF2" w:rsidRDefault="00CA2109" w:rsidP="00166FA7">
      <w:pPr>
        <w:numPr>
          <w:ilvl w:val="0"/>
          <w:numId w:val="3"/>
        </w:numPr>
        <w:spacing w:after="120"/>
        <w:ind w:left="357" w:hanging="357"/>
        <w:jc w:val="both"/>
        <w:rPr>
          <w:rFonts w:eastAsiaTheme="minorEastAsia"/>
          <w:sz w:val="20"/>
          <w:szCs w:val="20"/>
        </w:rPr>
      </w:pPr>
      <w:r w:rsidRPr="004E7FF2">
        <w:rPr>
          <w:rFonts w:eastAsiaTheme="minorEastAsia"/>
          <w:sz w:val="20"/>
          <w:szCs w:val="20"/>
        </w:rPr>
        <w:t>R4-250</w:t>
      </w:r>
      <w:r w:rsidR="004E7FF2" w:rsidRPr="004E7FF2">
        <w:rPr>
          <w:rFonts w:eastAsiaTheme="minorEastAsia"/>
          <w:sz w:val="20"/>
          <w:szCs w:val="20"/>
        </w:rPr>
        <w:t>4240</w:t>
      </w:r>
      <w:r w:rsidRPr="004E7FF2">
        <w:rPr>
          <w:rFonts w:eastAsiaTheme="minorEastAsia"/>
          <w:sz w:val="20"/>
          <w:szCs w:val="20"/>
        </w:rPr>
        <w:t xml:space="preserve">, </w:t>
      </w:r>
      <w:r w:rsidR="00E176AF" w:rsidRPr="004E7FF2">
        <w:rPr>
          <w:rFonts w:eastAsiaTheme="minorEastAsia"/>
          <w:sz w:val="20"/>
          <w:szCs w:val="20"/>
        </w:rPr>
        <w:t>“</w:t>
      </w:r>
      <w:r w:rsidR="00166FA7" w:rsidRPr="004E7FF2">
        <w:rPr>
          <w:rFonts w:eastAsiaTheme="minorEastAsia"/>
          <w:sz w:val="20"/>
          <w:szCs w:val="20"/>
        </w:rPr>
        <w:t>Discussion on power domain enhancement for NR single carrier</w:t>
      </w:r>
      <w:r w:rsidR="00E176AF" w:rsidRPr="004E7FF2">
        <w:rPr>
          <w:rFonts w:eastAsiaTheme="minorEastAsia"/>
          <w:sz w:val="20"/>
          <w:szCs w:val="20"/>
        </w:rPr>
        <w:t>”</w:t>
      </w:r>
      <w:r w:rsidRPr="004E7FF2">
        <w:rPr>
          <w:rFonts w:eastAsiaTheme="minorEastAsia"/>
          <w:sz w:val="20"/>
          <w:szCs w:val="20"/>
        </w:rPr>
        <w:t xml:space="preserve">, </w:t>
      </w:r>
      <w:r w:rsidR="00166FA7" w:rsidRPr="004E7FF2">
        <w:rPr>
          <w:rFonts w:eastAsiaTheme="minorEastAsia"/>
          <w:sz w:val="20"/>
          <w:szCs w:val="20"/>
        </w:rPr>
        <w:t>MediaTek</w:t>
      </w:r>
    </w:p>
    <w:sectPr w:rsidR="00166FA7" w:rsidRPr="004E7FF2" w:rsidSect="00C156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929D1" w14:textId="77777777" w:rsidR="00C3412F" w:rsidRDefault="00C3412F">
      <w:r>
        <w:separator/>
      </w:r>
    </w:p>
  </w:endnote>
  <w:endnote w:type="continuationSeparator" w:id="0">
    <w:p w14:paraId="1BEC04F6" w14:textId="77777777" w:rsidR="00C3412F" w:rsidRDefault="00C34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EB1F3" w14:textId="77777777" w:rsidR="00C3412F" w:rsidRDefault="00C3412F">
      <w:r>
        <w:separator/>
      </w:r>
    </w:p>
  </w:footnote>
  <w:footnote w:type="continuationSeparator" w:id="0">
    <w:p w14:paraId="6CA3E3B4" w14:textId="77777777" w:rsidR="00C3412F" w:rsidRDefault="00C341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0F1C96"/>
    <w:multiLevelType w:val="multilevel"/>
    <w:tmpl w:val="9BE40E9A"/>
    <w:lvl w:ilvl="0">
      <w:start w:val="1"/>
      <w:numFmt w:val="decimal"/>
      <w:lvlText w:val="%1"/>
      <w:lvlJc w:val="left"/>
      <w:pPr>
        <w:ind w:left="420" w:hanging="420"/>
      </w:pPr>
      <w:rPr>
        <w:rFonts w:hint="default"/>
      </w:rPr>
    </w:lvl>
    <w:lvl w:ilvl="1">
      <w:start w:val="1"/>
      <w:numFmt w:val="decimal"/>
      <w:isLgl/>
      <w:lvlText w:val="%1.%2"/>
      <w:lvlJc w:val="left"/>
      <w:pPr>
        <w:ind w:left="540" w:hanging="540"/>
      </w:pPr>
      <w:rPr>
        <w:rFonts w:ascii="Times New Roman" w:eastAsia="Times New Roman" w:hAnsi="Times New Roman" w:hint="default"/>
        <w:b/>
        <w:sz w:val="20"/>
      </w:rPr>
    </w:lvl>
    <w:lvl w:ilvl="2">
      <w:start w:val="1"/>
      <w:numFmt w:val="decimal"/>
      <w:isLgl/>
      <w:lvlText w:val="%1.%2.%3"/>
      <w:lvlJc w:val="left"/>
      <w:pPr>
        <w:ind w:left="720" w:hanging="720"/>
      </w:pPr>
      <w:rPr>
        <w:rFonts w:ascii="Times New Roman" w:eastAsia="Times New Roman" w:hAnsi="Times New Roman" w:hint="default"/>
        <w:b/>
        <w:sz w:val="20"/>
      </w:rPr>
    </w:lvl>
    <w:lvl w:ilvl="3">
      <w:start w:val="1"/>
      <w:numFmt w:val="decimal"/>
      <w:isLgl/>
      <w:lvlText w:val="%1.%2.%3.%4"/>
      <w:lvlJc w:val="left"/>
      <w:pPr>
        <w:ind w:left="720" w:hanging="720"/>
      </w:pPr>
      <w:rPr>
        <w:rFonts w:ascii="Times New Roman" w:eastAsia="Times New Roman" w:hAnsi="Times New Roman" w:hint="default"/>
        <w:b/>
        <w:sz w:val="20"/>
      </w:rPr>
    </w:lvl>
    <w:lvl w:ilvl="4">
      <w:start w:val="1"/>
      <w:numFmt w:val="decimal"/>
      <w:isLgl/>
      <w:lvlText w:val="%1.%2.%3.%4.%5"/>
      <w:lvlJc w:val="left"/>
      <w:pPr>
        <w:ind w:left="720" w:hanging="720"/>
      </w:pPr>
      <w:rPr>
        <w:rFonts w:ascii="Times New Roman" w:eastAsia="Times New Roman" w:hAnsi="Times New Roman" w:hint="default"/>
        <w:b/>
        <w:sz w:val="20"/>
      </w:rPr>
    </w:lvl>
    <w:lvl w:ilvl="5">
      <w:start w:val="1"/>
      <w:numFmt w:val="decimal"/>
      <w:isLgl/>
      <w:lvlText w:val="%1.%2.%3.%4.%5.%6"/>
      <w:lvlJc w:val="left"/>
      <w:pPr>
        <w:ind w:left="1080" w:hanging="1080"/>
      </w:pPr>
      <w:rPr>
        <w:rFonts w:ascii="Times New Roman" w:eastAsia="Times New Roman" w:hAnsi="Times New Roman" w:hint="default"/>
        <w:b/>
        <w:sz w:val="20"/>
      </w:rPr>
    </w:lvl>
    <w:lvl w:ilvl="6">
      <w:start w:val="1"/>
      <w:numFmt w:val="decimal"/>
      <w:isLgl/>
      <w:lvlText w:val="%1.%2.%3.%4.%5.%6.%7"/>
      <w:lvlJc w:val="left"/>
      <w:pPr>
        <w:ind w:left="1080" w:hanging="1080"/>
      </w:pPr>
      <w:rPr>
        <w:rFonts w:ascii="Times New Roman" w:eastAsia="Times New Roman" w:hAnsi="Times New Roman" w:hint="default"/>
        <w:b/>
        <w:sz w:val="20"/>
      </w:rPr>
    </w:lvl>
    <w:lvl w:ilvl="7">
      <w:start w:val="1"/>
      <w:numFmt w:val="decimal"/>
      <w:isLgl/>
      <w:lvlText w:val="%1.%2.%3.%4.%5.%6.%7.%8"/>
      <w:lvlJc w:val="left"/>
      <w:pPr>
        <w:ind w:left="1440" w:hanging="1440"/>
      </w:pPr>
      <w:rPr>
        <w:rFonts w:ascii="Times New Roman" w:eastAsia="Times New Roman" w:hAnsi="Times New Roman" w:hint="default"/>
        <w:b/>
        <w:sz w:val="20"/>
      </w:rPr>
    </w:lvl>
    <w:lvl w:ilvl="8">
      <w:start w:val="1"/>
      <w:numFmt w:val="decimal"/>
      <w:isLgl/>
      <w:lvlText w:val="%1.%2.%3.%4.%5.%6.%7.%8.%9"/>
      <w:lvlJc w:val="left"/>
      <w:pPr>
        <w:ind w:left="1440" w:hanging="1440"/>
      </w:pPr>
      <w:rPr>
        <w:rFonts w:ascii="Times New Roman" w:eastAsia="Times New Roman" w:hAnsi="Times New Roman" w:hint="default"/>
        <w:b/>
        <w:sz w:val="20"/>
      </w:rPr>
    </w:lvl>
  </w:abstractNum>
  <w:abstractNum w:abstractNumId="2" w15:restartNumberingAfterBreak="0">
    <w:nsid w:val="0D034F92"/>
    <w:multiLevelType w:val="hybridMultilevel"/>
    <w:tmpl w:val="F1E81836"/>
    <w:lvl w:ilvl="0" w:tplc="BE1E10F4">
      <w:start w:val="1"/>
      <w:numFmt w:val="bullet"/>
      <w:lvlText w:val=""/>
      <w:lvlJc w:val="left"/>
      <w:pPr>
        <w:ind w:left="360" w:hanging="360"/>
      </w:pPr>
      <w:rPr>
        <w:rFonts w:ascii="Wingdings" w:hAnsi="Wingdings" w:hint="default"/>
      </w:rPr>
    </w:lvl>
    <w:lvl w:ilvl="1" w:tplc="FFFFFFFF">
      <w:start w:val="2"/>
      <w:numFmt w:val="bullet"/>
      <w:lvlText w:val="-"/>
      <w:lvlJc w:val="left"/>
      <w:pPr>
        <w:ind w:left="1080" w:hanging="360"/>
      </w:pPr>
      <w:rPr>
        <w:rFonts w:ascii="New York" w:eastAsia="New York" w:hAnsi="New York" w:cs="SimSu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 w15:restartNumberingAfterBreak="0">
    <w:nsid w:val="2A861A3C"/>
    <w:multiLevelType w:val="multilevel"/>
    <w:tmpl w:val="0809001D"/>
    <w:styleLink w:val="Style1"/>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5" w15:restartNumberingAfterBreak="0">
    <w:nsid w:val="3B4E6B6B"/>
    <w:multiLevelType w:val="hybridMultilevel"/>
    <w:tmpl w:val="76E0FA5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D227FCD"/>
    <w:multiLevelType w:val="hybridMultilevel"/>
    <w:tmpl w:val="6F12991A"/>
    <w:lvl w:ilvl="0" w:tplc="F5460014">
      <w:start w:val="1"/>
      <w:numFmt w:val="bullet"/>
      <w:lvlText w:val="•"/>
      <w:lvlJc w:val="left"/>
      <w:pPr>
        <w:tabs>
          <w:tab w:val="num" w:pos="720"/>
        </w:tabs>
        <w:ind w:left="720" w:hanging="360"/>
      </w:pPr>
      <w:rPr>
        <w:rFonts w:ascii="Arial" w:hAnsi="Arial" w:hint="default"/>
      </w:rPr>
    </w:lvl>
    <w:lvl w:ilvl="1" w:tplc="7ED2DAE0" w:tentative="1">
      <w:start w:val="1"/>
      <w:numFmt w:val="bullet"/>
      <w:lvlText w:val="•"/>
      <w:lvlJc w:val="left"/>
      <w:pPr>
        <w:tabs>
          <w:tab w:val="num" w:pos="1440"/>
        </w:tabs>
        <w:ind w:left="1440" w:hanging="360"/>
      </w:pPr>
      <w:rPr>
        <w:rFonts w:ascii="Arial" w:hAnsi="Arial" w:hint="default"/>
      </w:rPr>
    </w:lvl>
    <w:lvl w:ilvl="2" w:tplc="7FAEB28C" w:tentative="1">
      <w:start w:val="1"/>
      <w:numFmt w:val="bullet"/>
      <w:lvlText w:val="•"/>
      <w:lvlJc w:val="left"/>
      <w:pPr>
        <w:tabs>
          <w:tab w:val="num" w:pos="2160"/>
        </w:tabs>
        <w:ind w:left="2160" w:hanging="360"/>
      </w:pPr>
      <w:rPr>
        <w:rFonts w:ascii="Arial" w:hAnsi="Arial" w:hint="default"/>
      </w:rPr>
    </w:lvl>
    <w:lvl w:ilvl="3" w:tplc="32149576" w:tentative="1">
      <w:start w:val="1"/>
      <w:numFmt w:val="bullet"/>
      <w:lvlText w:val="•"/>
      <w:lvlJc w:val="left"/>
      <w:pPr>
        <w:tabs>
          <w:tab w:val="num" w:pos="2880"/>
        </w:tabs>
        <w:ind w:left="2880" w:hanging="360"/>
      </w:pPr>
      <w:rPr>
        <w:rFonts w:ascii="Arial" w:hAnsi="Arial" w:hint="default"/>
      </w:rPr>
    </w:lvl>
    <w:lvl w:ilvl="4" w:tplc="61CEB23C" w:tentative="1">
      <w:start w:val="1"/>
      <w:numFmt w:val="bullet"/>
      <w:lvlText w:val="•"/>
      <w:lvlJc w:val="left"/>
      <w:pPr>
        <w:tabs>
          <w:tab w:val="num" w:pos="3600"/>
        </w:tabs>
        <w:ind w:left="3600" w:hanging="360"/>
      </w:pPr>
      <w:rPr>
        <w:rFonts w:ascii="Arial" w:hAnsi="Arial" w:hint="default"/>
      </w:rPr>
    </w:lvl>
    <w:lvl w:ilvl="5" w:tplc="50B6BEFC" w:tentative="1">
      <w:start w:val="1"/>
      <w:numFmt w:val="bullet"/>
      <w:lvlText w:val="•"/>
      <w:lvlJc w:val="left"/>
      <w:pPr>
        <w:tabs>
          <w:tab w:val="num" w:pos="4320"/>
        </w:tabs>
        <w:ind w:left="4320" w:hanging="360"/>
      </w:pPr>
      <w:rPr>
        <w:rFonts w:ascii="Arial" w:hAnsi="Arial" w:hint="default"/>
      </w:rPr>
    </w:lvl>
    <w:lvl w:ilvl="6" w:tplc="55761F54" w:tentative="1">
      <w:start w:val="1"/>
      <w:numFmt w:val="bullet"/>
      <w:lvlText w:val="•"/>
      <w:lvlJc w:val="left"/>
      <w:pPr>
        <w:tabs>
          <w:tab w:val="num" w:pos="5040"/>
        </w:tabs>
        <w:ind w:left="5040" w:hanging="360"/>
      </w:pPr>
      <w:rPr>
        <w:rFonts w:ascii="Arial" w:hAnsi="Arial" w:hint="default"/>
      </w:rPr>
    </w:lvl>
    <w:lvl w:ilvl="7" w:tplc="5448C80C" w:tentative="1">
      <w:start w:val="1"/>
      <w:numFmt w:val="bullet"/>
      <w:lvlText w:val="•"/>
      <w:lvlJc w:val="left"/>
      <w:pPr>
        <w:tabs>
          <w:tab w:val="num" w:pos="5760"/>
        </w:tabs>
        <w:ind w:left="5760" w:hanging="360"/>
      </w:pPr>
      <w:rPr>
        <w:rFonts w:ascii="Arial" w:hAnsi="Arial" w:hint="default"/>
      </w:rPr>
    </w:lvl>
    <w:lvl w:ilvl="8" w:tplc="2C1C9CA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E981936"/>
    <w:multiLevelType w:val="hybridMultilevel"/>
    <w:tmpl w:val="97F2AD34"/>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53873983"/>
    <w:multiLevelType w:val="hybridMultilevel"/>
    <w:tmpl w:val="4DB44ECA"/>
    <w:lvl w:ilvl="0" w:tplc="2742869C">
      <w:start w:val="1"/>
      <w:numFmt w:val="bullet"/>
      <w:lvlText w:val="•"/>
      <w:lvlJc w:val="left"/>
      <w:pPr>
        <w:tabs>
          <w:tab w:val="num" w:pos="720"/>
        </w:tabs>
        <w:ind w:left="720" w:hanging="360"/>
      </w:pPr>
      <w:rPr>
        <w:rFonts w:ascii="Arial" w:hAnsi="Arial" w:hint="default"/>
      </w:rPr>
    </w:lvl>
    <w:lvl w:ilvl="1" w:tplc="962C8FD2" w:tentative="1">
      <w:start w:val="1"/>
      <w:numFmt w:val="bullet"/>
      <w:lvlText w:val="•"/>
      <w:lvlJc w:val="left"/>
      <w:pPr>
        <w:tabs>
          <w:tab w:val="num" w:pos="1440"/>
        </w:tabs>
        <w:ind w:left="1440" w:hanging="360"/>
      </w:pPr>
      <w:rPr>
        <w:rFonts w:ascii="Arial" w:hAnsi="Arial" w:hint="default"/>
      </w:rPr>
    </w:lvl>
    <w:lvl w:ilvl="2" w:tplc="0692683A" w:tentative="1">
      <w:start w:val="1"/>
      <w:numFmt w:val="bullet"/>
      <w:lvlText w:val="•"/>
      <w:lvlJc w:val="left"/>
      <w:pPr>
        <w:tabs>
          <w:tab w:val="num" w:pos="2160"/>
        </w:tabs>
        <w:ind w:left="2160" w:hanging="360"/>
      </w:pPr>
      <w:rPr>
        <w:rFonts w:ascii="Arial" w:hAnsi="Arial" w:hint="default"/>
      </w:rPr>
    </w:lvl>
    <w:lvl w:ilvl="3" w:tplc="DBE8F5AA" w:tentative="1">
      <w:start w:val="1"/>
      <w:numFmt w:val="bullet"/>
      <w:lvlText w:val="•"/>
      <w:lvlJc w:val="left"/>
      <w:pPr>
        <w:tabs>
          <w:tab w:val="num" w:pos="2880"/>
        </w:tabs>
        <w:ind w:left="2880" w:hanging="360"/>
      </w:pPr>
      <w:rPr>
        <w:rFonts w:ascii="Arial" w:hAnsi="Arial" w:hint="default"/>
      </w:rPr>
    </w:lvl>
    <w:lvl w:ilvl="4" w:tplc="04B00E76" w:tentative="1">
      <w:start w:val="1"/>
      <w:numFmt w:val="bullet"/>
      <w:lvlText w:val="•"/>
      <w:lvlJc w:val="left"/>
      <w:pPr>
        <w:tabs>
          <w:tab w:val="num" w:pos="3600"/>
        </w:tabs>
        <w:ind w:left="3600" w:hanging="360"/>
      </w:pPr>
      <w:rPr>
        <w:rFonts w:ascii="Arial" w:hAnsi="Arial" w:hint="default"/>
      </w:rPr>
    </w:lvl>
    <w:lvl w:ilvl="5" w:tplc="0168536E" w:tentative="1">
      <w:start w:val="1"/>
      <w:numFmt w:val="bullet"/>
      <w:lvlText w:val="•"/>
      <w:lvlJc w:val="left"/>
      <w:pPr>
        <w:tabs>
          <w:tab w:val="num" w:pos="4320"/>
        </w:tabs>
        <w:ind w:left="4320" w:hanging="360"/>
      </w:pPr>
      <w:rPr>
        <w:rFonts w:ascii="Arial" w:hAnsi="Arial" w:hint="default"/>
      </w:rPr>
    </w:lvl>
    <w:lvl w:ilvl="6" w:tplc="3150431E" w:tentative="1">
      <w:start w:val="1"/>
      <w:numFmt w:val="bullet"/>
      <w:lvlText w:val="•"/>
      <w:lvlJc w:val="left"/>
      <w:pPr>
        <w:tabs>
          <w:tab w:val="num" w:pos="5040"/>
        </w:tabs>
        <w:ind w:left="5040" w:hanging="360"/>
      </w:pPr>
      <w:rPr>
        <w:rFonts w:ascii="Arial" w:hAnsi="Arial" w:hint="default"/>
      </w:rPr>
    </w:lvl>
    <w:lvl w:ilvl="7" w:tplc="29AACCB6" w:tentative="1">
      <w:start w:val="1"/>
      <w:numFmt w:val="bullet"/>
      <w:lvlText w:val="•"/>
      <w:lvlJc w:val="left"/>
      <w:pPr>
        <w:tabs>
          <w:tab w:val="num" w:pos="5760"/>
        </w:tabs>
        <w:ind w:left="5760" w:hanging="360"/>
      </w:pPr>
      <w:rPr>
        <w:rFonts w:ascii="Arial" w:hAnsi="Arial" w:hint="default"/>
      </w:rPr>
    </w:lvl>
    <w:lvl w:ilvl="8" w:tplc="19D8C5D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8B73482"/>
    <w:multiLevelType w:val="hybridMultilevel"/>
    <w:tmpl w:val="93F6AB30"/>
    <w:lvl w:ilvl="0" w:tplc="BE1E10F4">
      <w:start w:val="1"/>
      <w:numFmt w:val="bullet"/>
      <w:lvlText w:val=""/>
      <w:lvlJc w:val="left"/>
      <w:pPr>
        <w:ind w:left="360" w:hanging="360"/>
      </w:pPr>
      <w:rPr>
        <w:rFonts w:ascii="Wingdings" w:hAnsi="Wingdings" w:hint="default"/>
      </w:rPr>
    </w:lvl>
    <w:lvl w:ilvl="1" w:tplc="BEC07968">
      <w:start w:val="2"/>
      <w:numFmt w:val="bullet"/>
      <w:lvlText w:val="-"/>
      <w:lvlJc w:val="left"/>
      <w:pPr>
        <w:ind w:left="1080" w:hanging="360"/>
      </w:pPr>
      <w:rPr>
        <w:rFonts w:ascii="New York" w:eastAsia="New York" w:hAnsi="New York" w:cs="SimSu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0" w15:restartNumberingAfterBreak="0">
    <w:nsid w:val="67FC7005"/>
    <w:multiLevelType w:val="hybridMultilevel"/>
    <w:tmpl w:val="802A541C"/>
    <w:lvl w:ilvl="0" w:tplc="30B62BF6">
      <w:start w:val="1"/>
      <w:numFmt w:val="bullet"/>
      <w:lvlText w:val="•"/>
      <w:lvlJc w:val="left"/>
      <w:pPr>
        <w:tabs>
          <w:tab w:val="num" w:pos="720"/>
        </w:tabs>
        <w:ind w:left="720" w:hanging="360"/>
      </w:pPr>
      <w:rPr>
        <w:rFonts w:ascii="Arial" w:hAnsi="Arial" w:hint="default"/>
      </w:rPr>
    </w:lvl>
    <w:lvl w:ilvl="1" w:tplc="DF568C2C" w:tentative="1">
      <w:start w:val="1"/>
      <w:numFmt w:val="bullet"/>
      <w:lvlText w:val="•"/>
      <w:lvlJc w:val="left"/>
      <w:pPr>
        <w:tabs>
          <w:tab w:val="num" w:pos="1440"/>
        </w:tabs>
        <w:ind w:left="1440" w:hanging="360"/>
      </w:pPr>
      <w:rPr>
        <w:rFonts w:ascii="Arial" w:hAnsi="Arial" w:hint="default"/>
      </w:rPr>
    </w:lvl>
    <w:lvl w:ilvl="2" w:tplc="D6A8A494" w:tentative="1">
      <w:start w:val="1"/>
      <w:numFmt w:val="bullet"/>
      <w:lvlText w:val="•"/>
      <w:lvlJc w:val="left"/>
      <w:pPr>
        <w:tabs>
          <w:tab w:val="num" w:pos="2160"/>
        </w:tabs>
        <w:ind w:left="2160" w:hanging="360"/>
      </w:pPr>
      <w:rPr>
        <w:rFonts w:ascii="Arial" w:hAnsi="Arial" w:hint="default"/>
      </w:rPr>
    </w:lvl>
    <w:lvl w:ilvl="3" w:tplc="5FA228D6" w:tentative="1">
      <w:start w:val="1"/>
      <w:numFmt w:val="bullet"/>
      <w:lvlText w:val="•"/>
      <w:lvlJc w:val="left"/>
      <w:pPr>
        <w:tabs>
          <w:tab w:val="num" w:pos="2880"/>
        </w:tabs>
        <w:ind w:left="2880" w:hanging="360"/>
      </w:pPr>
      <w:rPr>
        <w:rFonts w:ascii="Arial" w:hAnsi="Arial" w:hint="default"/>
      </w:rPr>
    </w:lvl>
    <w:lvl w:ilvl="4" w:tplc="1E5AB2BE" w:tentative="1">
      <w:start w:val="1"/>
      <w:numFmt w:val="bullet"/>
      <w:lvlText w:val="•"/>
      <w:lvlJc w:val="left"/>
      <w:pPr>
        <w:tabs>
          <w:tab w:val="num" w:pos="3600"/>
        </w:tabs>
        <w:ind w:left="3600" w:hanging="360"/>
      </w:pPr>
      <w:rPr>
        <w:rFonts w:ascii="Arial" w:hAnsi="Arial" w:hint="default"/>
      </w:rPr>
    </w:lvl>
    <w:lvl w:ilvl="5" w:tplc="B930D9A2" w:tentative="1">
      <w:start w:val="1"/>
      <w:numFmt w:val="bullet"/>
      <w:lvlText w:val="•"/>
      <w:lvlJc w:val="left"/>
      <w:pPr>
        <w:tabs>
          <w:tab w:val="num" w:pos="4320"/>
        </w:tabs>
        <w:ind w:left="4320" w:hanging="360"/>
      </w:pPr>
      <w:rPr>
        <w:rFonts w:ascii="Arial" w:hAnsi="Arial" w:hint="default"/>
      </w:rPr>
    </w:lvl>
    <w:lvl w:ilvl="6" w:tplc="9700563C" w:tentative="1">
      <w:start w:val="1"/>
      <w:numFmt w:val="bullet"/>
      <w:lvlText w:val="•"/>
      <w:lvlJc w:val="left"/>
      <w:pPr>
        <w:tabs>
          <w:tab w:val="num" w:pos="5040"/>
        </w:tabs>
        <w:ind w:left="5040" w:hanging="360"/>
      </w:pPr>
      <w:rPr>
        <w:rFonts w:ascii="Arial" w:hAnsi="Arial" w:hint="default"/>
      </w:rPr>
    </w:lvl>
    <w:lvl w:ilvl="7" w:tplc="BBA421E2" w:tentative="1">
      <w:start w:val="1"/>
      <w:numFmt w:val="bullet"/>
      <w:lvlText w:val="•"/>
      <w:lvlJc w:val="left"/>
      <w:pPr>
        <w:tabs>
          <w:tab w:val="num" w:pos="5760"/>
        </w:tabs>
        <w:ind w:left="5760" w:hanging="360"/>
      </w:pPr>
      <w:rPr>
        <w:rFonts w:ascii="Arial" w:hAnsi="Arial" w:hint="default"/>
      </w:rPr>
    </w:lvl>
    <w:lvl w:ilvl="8" w:tplc="5A3076F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93C6C70"/>
    <w:multiLevelType w:val="hybridMultilevel"/>
    <w:tmpl w:val="A6F0B8FA"/>
    <w:lvl w:ilvl="0" w:tplc="5D201C80">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884412007">
    <w:abstractNumId w:val="12"/>
  </w:num>
  <w:num w:numId="2" w16cid:durableId="1386098212">
    <w:abstractNumId w:val="4"/>
  </w:num>
  <w:num w:numId="3" w16cid:durableId="1493373750">
    <w:abstractNumId w:val="0"/>
  </w:num>
  <w:num w:numId="4" w16cid:durableId="1704018364">
    <w:abstractNumId w:val="1"/>
  </w:num>
  <w:num w:numId="5" w16cid:durableId="2017460434">
    <w:abstractNumId w:val="3"/>
  </w:num>
  <w:num w:numId="6" w16cid:durableId="224150428">
    <w:abstractNumId w:val="7"/>
  </w:num>
  <w:num w:numId="7" w16cid:durableId="353652302">
    <w:abstractNumId w:val="5"/>
  </w:num>
  <w:num w:numId="8" w16cid:durableId="977338788">
    <w:abstractNumId w:val="9"/>
  </w:num>
  <w:num w:numId="9" w16cid:durableId="2004508736">
    <w:abstractNumId w:val="8"/>
  </w:num>
  <w:num w:numId="10" w16cid:durableId="1390691942">
    <w:abstractNumId w:val="10"/>
  </w:num>
  <w:num w:numId="11" w16cid:durableId="84232163">
    <w:abstractNumId w:val="6"/>
  </w:num>
  <w:num w:numId="12" w16cid:durableId="1753964793">
    <w:abstractNumId w:val="2"/>
  </w:num>
  <w:num w:numId="13" w16cid:durableId="1015500158">
    <w:abstractNumId w:val="9"/>
  </w:num>
  <w:num w:numId="14" w16cid:durableId="1778057935">
    <w:abstractNumId w:val="11"/>
  </w:num>
  <w:num w:numId="15" w16cid:durableId="7203968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hyphenationZone w:val="425"/>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1FB"/>
    <w:rsid w:val="00001374"/>
    <w:rsid w:val="00002D0A"/>
    <w:rsid w:val="00002D71"/>
    <w:rsid w:val="00003374"/>
    <w:rsid w:val="00003417"/>
    <w:rsid w:val="0000374D"/>
    <w:rsid w:val="000041E0"/>
    <w:rsid w:val="000043F8"/>
    <w:rsid w:val="00004781"/>
    <w:rsid w:val="00004BFD"/>
    <w:rsid w:val="00004F47"/>
    <w:rsid w:val="00005888"/>
    <w:rsid w:val="00006B6C"/>
    <w:rsid w:val="0000781A"/>
    <w:rsid w:val="0000797A"/>
    <w:rsid w:val="00007F1B"/>
    <w:rsid w:val="00010B90"/>
    <w:rsid w:val="00010CA0"/>
    <w:rsid w:val="00011229"/>
    <w:rsid w:val="00011754"/>
    <w:rsid w:val="00011CF9"/>
    <w:rsid w:val="00012824"/>
    <w:rsid w:val="00013230"/>
    <w:rsid w:val="00014615"/>
    <w:rsid w:val="0001496A"/>
    <w:rsid w:val="000150A3"/>
    <w:rsid w:val="000154A0"/>
    <w:rsid w:val="00015717"/>
    <w:rsid w:val="00015751"/>
    <w:rsid w:val="00015769"/>
    <w:rsid w:val="000158AF"/>
    <w:rsid w:val="000159B2"/>
    <w:rsid w:val="0001662A"/>
    <w:rsid w:val="000168AE"/>
    <w:rsid w:val="00016E53"/>
    <w:rsid w:val="00017274"/>
    <w:rsid w:val="0001728F"/>
    <w:rsid w:val="0002022E"/>
    <w:rsid w:val="00020273"/>
    <w:rsid w:val="000204D4"/>
    <w:rsid w:val="000213C8"/>
    <w:rsid w:val="000220E8"/>
    <w:rsid w:val="000222E9"/>
    <w:rsid w:val="00022722"/>
    <w:rsid w:val="00022766"/>
    <w:rsid w:val="00023666"/>
    <w:rsid w:val="0002377D"/>
    <w:rsid w:val="00023B82"/>
    <w:rsid w:val="00023C88"/>
    <w:rsid w:val="00023D9C"/>
    <w:rsid w:val="00023E96"/>
    <w:rsid w:val="00024E63"/>
    <w:rsid w:val="00024EAF"/>
    <w:rsid w:val="000259EE"/>
    <w:rsid w:val="0002690B"/>
    <w:rsid w:val="00026B16"/>
    <w:rsid w:val="00027504"/>
    <w:rsid w:val="00027890"/>
    <w:rsid w:val="00027C5A"/>
    <w:rsid w:val="000301F3"/>
    <w:rsid w:val="000312A0"/>
    <w:rsid w:val="00031C92"/>
    <w:rsid w:val="00031E16"/>
    <w:rsid w:val="000325F4"/>
    <w:rsid w:val="00032D96"/>
    <w:rsid w:val="00033289"/>
    <w:rsid w:val="00033380"/>
    <w:rsid w:val="00033D2C"/>
    <w:rsid w:val="0003449C"/>
    <w:rsid w:val="00034BD1"/>
    <w:rsid w:val="000350EB"/>
    <w:rsid w:val="00035236"/>
    <w:rsid w:val="00035559"/>
    <w:rsid w:val="00035C64"/>
    <w:rsid w:val="00035EBF"/>
    <w:rsid w:val="000360C2"/>
    <w:rsid w:val="000364B2"/>
    <w:rsid w:val="00036A01"/>
    <w:rsid w:val="00036DF7"/>
    <w:rsid w:val="00037039"/>
    <w:rsid w:val="0003747C"/>
    <w:rsid w:val="0003776F"/>
    <w:rsid w:val="00037B2C"/>
    <w:rsid w:val="000400DE"/>
    <w:rsid w:val="00040D11"/>
    <w:rsid w:val="00040E69"/>
    <w:rsid w:val="00040FD4"/>
    <w:rsid w:val="00041295"/>
    <w:rsid w:val="000412C3"/>
    <w:rsid w:val="00041AA7"/>
    <w:rsid w:val="00041B79"/>
    <w:rsid w:val="00041EAA"/>
    <w:rsid w:val="00042183"/>
    <w:rsid w:val="000426C0"/>
    <w:rsid w:val="00042A2E"/>
    <w:rsid w:val="00043021"/>
    <w:rsid w:val="00043822"/>
    <w:rsid w:val="00044220"/>
    <w:rsid w:val="0004449B"/>
    <w:rsid w:val="000445DD"/>
    <w:rsid w:val="00044739"/>
    <w:rsid w:val="00044BB7"/>
    <w:rsid w:val="0004545B"/>
    <w:rsid w:val="00046579"/>
    <w:rsid w:val="0004663E"/>
    <w:rsid w:val="00046BAD"/>
    <w:rsid w:val="00046CBD"/>
    <w:rsid w:val="00046E42"/>
    <w:rsid w:val="0004705B"/>
    <w:rsid w:val="00047200"/>
    <w:rsid w:val="00047378"/>
    <w:rsid w:val="00047CE4"/>
    <w:rsid w:val="0005009D"/>
    <w:rsid w:val="00050347"/>
    <w:rsid w:val="0005046C"/>
    <w:rsid w:val="0005160F"/>
    <w:rsid w:val="00051801"/>
    <w:rsid w:val="00051B7E"/>
    <w:rsid w:val="00051B95"/>
    <w:rsid w:val="00052040"/>
    <w:rsid w:val="00052815"/>
    <w:rsid w:val="00052DF6"/>
    <w:rsid w:val="00055EAE"/>
    <w:rsid w:val="00056119"/>
    <w:rsid w:val="000566C0"/>
    <w:rsid w:val="000566FE"/>
    <w:rsid w:val="000567E4"/>
    <w:rsid w:val="00057061"/>
    <w:rsid w:val="00057155"/>
    <w:rsid w:val="000572B7"/>
    <w:rsid w:val="000574A1"/>
    <w:rsid w:val="000575D8"/>
    <w:rsid w:val="00057FD7"/>
    <w:rsid w:val="000611CA"/>
    <w:rsid w:val="00061DF2"/>
    <w:rsid w:val="00062C5B"/>
    <w:rsid w:val="00062EEF"/>
    <w:rsid w:val="000631DB"/>
    <w:rsid w:val="00063BA1"/>
    <w:rsid w:val="00063FAD"/>
    <w:rsid w:val="00064B04"/>
    <w:rsid w:val="000665F3"/>
    <w:rsid w:val="00066C05"/>
    <w:rsid w:val="00066CBA"/>
    <w:rsid w:val="000672B2"/>
    <w:rsid w:val="00067632"/>
    <w:rsid w:val="00070DF2"/>
    <w:rsid w:val="00071151"/>
    <w:rsid w:val="0007179C"/>
    <w:rsid w:val="00072DCD"/>
    <w:rsid w:val="00073162"/>
    <w:rsid w:val="00073EFF"/>
    <w:rsid w:val="00074267"/>
    <w:rsid w:val="00074A2A"/>
    <w:rsid w:val="000757DE"/>
    <w:rsid w:val="00075ADC"/>
    <w:rsid w:val="000761DD"/>
    <w:rsid w:val="00076349"/>
    <w:rsid w:val="00076423"/>
    <w:rsid w:val="000765BD"/>
    <w:rsid w:val="00076791"/>
    <w:rsid w:val="0007684A"/>
    <w:rsid w:val="00077334"/>
    <w:rsid w:val="00077783"/>
    <w:rsid w:val="000779DD"/>
    <w:rsid w:val="00077A1B"/>
    <w:rsid w:val="000800AD"/>
    <w:rsid w:val="0008082B"/>
    <w:rsid w:val="000813C0"/>
    <w:rsid w:val="00081B67"/>
    <w:rsid w:val="00082359"/>
    <w:rsid w:val="00082B31"/>
    <w:rsid w:val="000838C9"/>
    <w:rsid w:val="0008397C"/>
    <w:rsid w:val="00083AC5"/>
    <w:rsid w:val="000842C6"/>
    <w:rsid w:val="000844D2"/>
    <w:rsid w:val="00084A5C"/>
    <w:rsid w:val="00084E8B"/>
    <w:rsid w:val="0008512E"/>
    <w:rsid w:val="00085289"/>
    <w:rsid w:val="000854BB"/>
    <w:rsid w:val="0008573F"/>
    <w:rsid w:val="00085832"/>
    <w:rsid w:val="00085A3A"/>
    <w:rsid w:val="000861FB"/>
    <w:rsid w:val="00086B5A"/>
    <w:rsid w:val="0008720F"/>
    <w:rsid w:val="000873BD"/>
    <w:rsid w:val="00087E54"/>
    <w:rsid w:val="00087F88"/>
    <w:rsid w:val="0009009D"/>
    <w:rsid w:val="0009013B"/>
    <w:rsid w:val="000905BC"/>
    <w:rsid w:val="000908AC"/>
    <w:rsid w:val="000909D7"/>
    <w:rsid w:val="00090E45"/>
    <w:rsid w:val="000924E0"/>
    <w:rsid w:val="00092B75"/>
    <w:rsid w:val="00092E8D"/>
    <w:rsid w:val="00092F75"/>
    <w:rsid w:val="000932B9"/>
    <w:rsid w:val="00093A84"/>
    <w:rsid w:val="00093FE8"/>
    <w:rsid w:val="0009475D"/>
    <w:rsid w:val="0009480C"/>
    <w:rsid w:val="00094B1B"/>
    <w:rsid w:val="00095342"/>
    <w:rsid w:val="00095689"/>
    <w:rsid w:val="00095D62"/>
    <w:rsid w:val="00095E66"/>
    <w:rsid w:val="00095FD5"/>
    <w:rsid w:val="000963C5"/>
    <w:rsid w:val="0009640C"/>
    <w:rsid w:val="000968E8"/>
    <w:rsid w:val="000968FB"/>
    <w:rsid w:val="00096951"/>
    <w:rsid w:val="00096C83"/>
    <w:rsid w:val="00096F49"/>
    <w:rsid w:val="00096F9F"/>
    <w:rsid w:val="00097EF3"/>
    <w:rsid w:val="000A11D4"/>
    <w:rsid w:val="000A188D"/>
    <w:rsid w:val="000A1902"/>
    <w:rsid w:val="000A1B31"/>
    <w:rsid w:val="000A1E33"/>
    <w:rsid w:val="000A26FF"/>
    <w:rsid w:val="000A2A9E"/>
    <w:rsid w:val="000A2CC7"/>
    <w:rsid w:val="000A2FD7"/>
    <w:rsid w:val="000A357C"/>
    <w:rsid w:val="000A373A"/>
    <w:rsid w:val="000A3A32"/>
    <w:rsid w:val="000A478B"/>
    <w:rsid w:val="000A4B91"/>
    <w:rsid w:val="000A50A5"/>
    <w:rsid w:val="000A52EA"/>
    <w:rsid w:val="000A5866"/>
    <w:rsid w:val="000A5B95"/>
    <w:rsid w:val="000A5D44"/>
    <w:rsid w:val="000A60B0"/>
    <w:rsid w:val="000A6519"/>
    <w:rsid w:val="000A6E10"/>
    <w:rsid w:val="000A737E"/>
    <w:rsid w:val="000A78B0"/>
    <w:rsid w:val="000A7DB4"/>
    <w:rsid w:val="000B0093"/>
    <w:rsid w:val="000B044C"/>
    <w:rsid w:val="000B05D6"/>
    <w:rsid w:val="000B0691"/>
    <w:rsid w:val="000B0CD8"/>
    <w:rsid w:val="000B1111"/>
    <w:rsid w:val="000B14AB"/>
    <w:rsid w:val="000B2251"/>
    <w:rsid w:val="000B2E50"/>
    <w:rsid w:val="000B3130"/>
    <w:rsid w:val="000B3306"/>
    <w:rsid w:val="000B3659"/>
    <w:rsid w:val="000B3692"/>
    <w:rsid w:val="000B3832"/>
    <w:rsid w:val="000B3AD0"/>
    <w:rsid w:val="000B3BAF"/>
    <w:rsid w:val="000B43D7"/>
    <w:rsid w:val="000B44CC"/>
    <w:rsid w:val="000B4690"/>
    <w:rsid w:val="000B46BA"/>
    <w:rsid w:val="000B482C"/>
    <w:rsid w:val="000B49F4"/>
    <w:rsid w:val="000B50EF"/>
    <w:rsid w:val="000B5F86"/>
    <w:rsid w:val="000B61DC"/>
    <w:rsid w:val="000B665C"/>
    <w:rsid w:val="000B7286"/>
    <w:rsid w:val="000B7552"/>
    <w:rsid w:val="000B76F5"/>
    <w:rsid w:val="000B7B3A"/>
    <w:rsid w:val="000B7FBB"/>
    <w:rsid w:val="000C0363"/>
    <w:rsid w:val="000C0DBA"/>
    <w:rsid w:val="000C120D"/>
    <w:rsid w:val="000C145A"/>
    <w:rsid w:val="000C1887"/>
    <w:rsid w:val="000C1896"/>
    <w:rsid w:val="000C1BCE"/>
    <w:rsid w:val="000C22F0"/>
    <w:rsid w:val="000C296C"/>
    <w:rsid w:val="000C2C99"/>
    <w:rsid w:val="000C37E3"/>
    <w:rsid w:val="000C3BFE"/>
    <w:rsid w:val="000C43AF"/>
    <w:rsid w:val="000C443A"/>
    <w:rsid w:val="000C4797"/>
    <w:rsid w:val="000C49F9"/>
    <w:rsid w:val="000C5161"/>
    <w:rsid w:val="000C52D9"/>
    <w:rsid w:val="000C5D25"/>
    <w:rsid w:val="000C5F14"/>
    <w:rsid w:val="000C6925"/>
    <w:rsid w:val="000C6DF3"/>
    <w:rsid w:val="000C7960"/>
    <w:rsid w:val="000C7B02"/>
    <w:rsid w:val="000C7C07"/>
    <w:rsid w:val="000D0128"/>
    <w:rsid w:val="000D0394"/>
    <w:rsid w:val="000D04B5"/>
    <w:rsid w:val="000D1172"/>
    <w:rsid w:val="000D11E1"/>
    <w:rsid w:val="000D1289"/>
    <w:rsid w:val="000D16DC"/>
    <w:rsid w:val="000D1B4C"/>
    <w:rsid w:val="000D1F06"/>
    <w:rsid w:val="000D209B"/>
    <w:rsid w:val="000D21B5"/>
    <w:rsid w:val="000D2243"/>
    <w:rsid w:val="000D2459"/>
    <w:rsid w:val="000D281A"/>
    <w:rsid w:val="000D2854"/>
    <w:rsid w:val="000D30BF"/>
    <w:rsid w:val="000D3811"/>
    <w:rsid w:val="000D43D7"/>
    <w:rsid w:val="000D4640"/>
    <w:rsid w:val="000D4FC7"/>
    <w:rsid w:val="000D50BD"/>
    <w:rsid w:val="000D5324"/>
    <w:rsid w:val="000D5335"/>
    <w:rsid w:val="000D5CD9"/>
    <w:rsid w:val="000D60AB"/>
    <w:rsid w:val="000D6329"/>
    <w:rsid w:val="000D64D4"/>
    <w:rsid w:val="000D655C"/>
    <w:rsid w:val="000D6725"/>
    <w:rsid w:val="000D68FB"/>
    <w:rsid w:val="000D69A3"/>
    <w:rsid w:val="000D6D18"/>
    <w:rsid w:val="000E0F31"/>
    <w:rsid w:val="000E1714"/>
    <w:rsid w:val="000E1C44"/>
    <w:rsid w:val="000E1E5A"/>
    <w:rsid w:val="000E2174"/>
    <w:rsid w:val="000E23DC"/>
    <w:rsid w:val="000E286A"/>
    <w:rsid w:val="000E29A1"/>
    <w:rsid w:val="000E3298"/>
    <w:rsid w:val="000E3728"/>
    <w:rsid w:val="000E3D99"/>
    <w:rsid w:val="000E4B99"/>
    <w:rsid w:val="000E4D27"/>
    <w:rsid w:val="000E4EC8"/>
    <w:rsid w:val="000E50AC"/>
    <w:rsid w:val="000E535E"/>
    <w:rsid w:val="000E539A"/>
    <w:rsid w:val="000E5903"/>
    <w:rsid w:val="000E5DE9"/>
    <w:rsid w:val="000E67A2"/>
    <w:rsid w:val="000E7864"/>
    <w:rsid w:val="000E7BFC"/>
    <w:rsid w:val="000E7E14"/>
    <w:rsid w:val="000E7ED4"/>
    <w:rsid w:val="000E7F53"/>
    <w:rsid w:val="000F0DFF"/>
    <w:rsid w:val="000F0E55"/>
    <w:rsid w:val="000F12DB"/>
    <w:rsid w:val="000F1688"/>
    <w:rsid w:val="000F17F0"/>
    <w:rsid w:val="000F1996"/>
    <w:rsid w:val="000F25E5"/>
    <w:rsid w:val="000F3D65"/>
    <w:rsid w:val="000F401A"/>
    <w:rsid w:val="000F5079"/>
    <w:rsid w:val="000F51EF"/>
    <w:rsid w:val="000F58CF"/>
    <w:rsid w:val="000F5B14"/>
    <w:rsid w:val="000F5FB8"/>
    <w:rsid w:val="000F724F"/>
    <w:rsid w:val="000F7B5C"/>
    <w:rsid w:val="000F7E57"/>
    <w:rsid w:val="00100015"/>
    <w:rsid w:val="00100483"/>
    <w:rsid w:val="001005F8"/>
    <w:rsid w:val="00100C4A"/>
    <w:rsid w:val="00100CB3"/>
    <w:rsid w:val="00101080"/>
    <w:rsid w:val="001015BF"/>
    <w:rsid w:val="00101C16"/>
    <w:rsid w:val="00102560"/>
    <w:rsid w:val="0010259B"/>
    <w:rsid w:val="00102973"/>
    <w:rsid w:val="00102A6A"/>
    <w:rsid w:val="00102C6C"/>
    <w:rsid w:val="001035C4"/>
    <w:rsid w:val="00103D1E"/>
    <w:rsid w:val="0010450D"/>
    <w:rsid w:val="00104E1D"/>
    <w:rsid w:val="00105603"/>
    <w:rsid w:val="001059B4"/>
    <w:rsid w:val="00105DE3"/>
    <w:rsid w:val="001061F3"/>
    <w:rsid w:val="001067FC"/>
    <w:rsid w:val="001068F1"/>
    <w:rsid w:val="00107076"/>
    <w:rsid w:val="00107792"/>
    <w:rsid w:val="001077F0"/>
    <w:rsid w:val="00107B07"/>
    <w:rsid w:val="00107F9D"/>
    <w:rsid w:val="001109F3"/>
    <w:rsid w:val="001112B2"/>
    <w:rsid w:val="00111BBE"/>
    <w:rsid w:val="00111E08"/>
    <w:rsid w:val="00111EAA"/>
    <w:rsid w:val="001129BF"/>
    <w:rsid w:val="001135BC"/>
    <w:rsid w:val="00113995"/>
    <w:rsid w:val="00113B5F"/>
    <w:rsid w:val="001144A1"/>
    <w:rsid w:val="0011497D"/>
    <w:rsid w:val="00114DFE"/>
    <w:rsid w:val="00115001"/>
    <w:rsid w:val="00115066"/>
    <w:rsid w:val="001150F8"/>
    <w:rsid w:val="001151DC"/>
    <w:rsid w:val="00115404"/>
    <w:rsid w:val="00115782"/>
    <w:rsid w:val="00115AB8"/>
    <w:rsid w:val="00115BB1"/>
    <w:rsid w:val="001169D4"/>
    <w:rsid w:val="0011715A"/>
    <w:rsid w:val="0011788A"/>
    <w:rsid w:val="00117C6A"/>
    <w:rsid w:val="00117C8E"/>
    <w:rsid w:val="00117D64"/>
    <w:rsid w:val="00117F94"/>
    <w:rsid w:val="0012083A"/>
    <w:rsid w:val="0012097A"/>
    <w:rsid w:val="001214F0"/>
    <w:rsid w:val="001215FA"/>
    <w:rsid w:val="00121B25"/>
    <w:rsid w:val="00121D2A"/>
    <w:rsid w:val="001221AB"/>
    <w:rsid w:val="0012225F"/>
    <w:rsid w:val="00122B42"/>
    <w:rsid w:val="00123D4F"/>
    <w:rsid w:val="00124277"/>
    <w:rsid w:val="00125038"/>
    <w:rsid w:val="001250CF"/>
    <w:rsid w:val="0012533B"/>
    <w:rsid w:val="001258A0"/>
    <w:rsid w:val="00125B4D"/>
    <w:rsid w:val="00125C6D"/>
    <w:rsid w:val="00125C6F"/>
    <w:rsid w:val="00125D38"/>
    <w:rsid w:val="00125F35"/>
    <w:rsid w:val="00126284"/>
    <w:rsid w:val="00126303"/>
    <w:rsid w:val="0012698F"/>
    <w:rsid w:val="00126DAC"/>
    <w:rsid w:val="00126FC3"/>
    <w:rsid w:val="00127120"/>
    <w:rsid w:val="0012736C"/>
    <w:rsid w:val="001302B5"/>
    <w:rsid w:val="00130E9C"/>
    <w:rsid w:val="001317FC"/>
    <w:rsid w:val="001320DF"/>
    <w:rsid w:val="0013277F"/>
    <w:rsid w:val="00132CFB"/>
    <w:rsid w:val="001332DD"/>
    <w:rsid w:val="00133712"/>
    <w:rsid w:val="00133DF4"/>
    <w:rsid w:val="00133E10"/>
    <w:rsid w:val="00134289"/>
    <w:rsid w:val="001343E5"/>
    <w:rsid w:val="00134602"/>
    <w:rsid w:val="00134CBC"/>
    <w:rsid w:val="00134D3B"/>
    <w:rsid w:val="00134D6C"/>
    <w:rsid w:val="00134E1F"/>
    <w:rsid w:val="00135112"/>
    <w:rsid w:val="0013517C"/>
    <w:rsid w:val="001356BC"/>
    <w:rsid w:val="00135B66"/>
    <w:rsid w:val="00135D3C"/>
    <w:rsid w:val="0013611C"/>
    <w:rsid w:val="00136299"/>
    <w:rsid w:val="00136BB7"/>
    <w:rsid w:val="00136C79"/>
    <w:rsid w:val="00137332"/>
    <w:rsid w:val="00137563"/>
    <w:rsid w:val="00137A47"/>
    <w:rsid w:val="00140742"/>
    <w:rsid w:val="00140807"/>
    <w:rsid w:val="00140A17"/>
    <w:rsid w:val="00140D14"/>
    <w:rsid w:val="00141509"/>
    <w:rsid w:val="0014190B"/>
    <w:rsid w:val="00142BF6"/>
    <w:rsid w:val="00143948"/>
    <w:rsid w:val="00143AAC"/>
    <w:rsid w:val="00144D51"/>
    <w:rsid w:val="00145D31"/>
    <w:rsid w:val="00147DD8"/>
    <w:rsid w:val="00150293"/>
    <w:rsid w:val="00150373"/>
    <w:rsid w:val="001523A7"/>
    <w:rsid w:val="00152674"/>
    <w:rsid w:val="0015293F"/>
    <w:rsid w:val="00152D10"/>
    <w:rsid w:val="00152D7D"/>
    <w:rsid w:val="00153439"/>
    <w:rsid w:val="001541C7"/>
    <w:rsid w:val="0015467A"/>
    <w:rsid w:val="00155D30"/>
    <w:rsid w:val="00155D7D"/>
    <w:rsid w:val="00156055"/>
    <w:rsid w:val="0015623E"/>
    <w:rsid w:val="0015644A"/>
    <w:rsid w:val="001566D0"/>
    <w:rsid w:val="00156882"/>
    <w:rsid w:val="00157175"/>
    <w:rsid w:val="0015721C"/>
    <w:rsid w:val="00157888"/>
    <w:rsid w:val="00157A62"/>
    <w:rsid w:val="00157C01"/>
    <w:rsid w:val="00157E39"/>
    <w:rsid w:val="00157E64"/>
    <w:rsid w:val="00157F89"/>
    <w:rsid w:val="0016006B"/>
    <w:rsid w:val="00160102"/>
    <w:rsid w:val="001606D6"/>
    <w:rsid w:val="00160887"/>
    <w:rsid w:val="001609B4"/>
    <w:rsid w:val="00160BEA"/>
    <w:rsid w:val="00160DF1"/>
    <w:rsid w:val="00161253"/>
    <w:rsid w:val="0016127F"/>
    <w:rsid w:val="00161565"/>
    <w:rsid w:val="0016164F"/>
    <w:rsid w:val="001624C7"/>
    <w:rsid w:val="00162B0F"/>
    <w:rsid w:val="001631C8"/>
    <w:rsid w:val="00163277"/>
    <w:rsid w:val="001632CA"/>
    <w:rsid w:val="0016432C"/>
    <w:rsid w:val="001644C7"/>
    <w:rsid w:val="00164713"/>
    <w:rsid w:val="00164880"/>
    <w:rsid w:val="00164A34"/>
    <w:rsid w:val="00164F55"/>
    <w:rsid w:val="00166071"/>
    <w:rsid w:val="00166671"/>
    <w:rsid w:val="00166FA7"/>
    <w:rsid w:val="00167F94"/>
    <w:rsid w:val="00170085"/>
    <w:rsid w:val="001704D9"/>
    <w:rsid w:val="00170730"/>
    <w:rsid w:val="001710DA"/>
    <w:rsid w:val="0017226B"/>
    <w:rsid w:val="001725CC"/>
    <w:rsid w:val="00172CD1"/>
    <w:rsid w:val="00172D4C"/>
    <w:rsid w:val="00173515"/>
    <w:rsid w:val="00173A62"/>
    <w:rsid w:val="00173C4E"/>
    <w:rsid w:val="00173CEA"/>
    <w:rsid w:val="00173E82"/>
    <w:rsid w:val="0017402F"/>
    <w:rsid w:val="00174C18"/>
    <w:rsid w:val="00174EDA"/>
    <w:rsid w:val="001756A4"/>
    <w:rsid w:val="0017573D"/>
    <w:rsid w:val="0017583D"/>
    <w:rsid w:val="00176D16"/>
    <w:rsid w:val="00177A90"/>
    <w:rsid w:val="0018000D"/>
    <w:rsid w:val="00180470"/>
    <w:rsid w:val="001804AF"/>
    <w:rsid w:val="00180923"/>
    <w:rsid w:val="00180B10"/>
    <w:rsid w:val="0018117C"/>
    <w:rsid w:val="00181AD3"/>
    <w:rsid w:val="00181E26"/>
    <w:rsid w:val="00181E89"/>
    <w:rsid w:val="00181E8C"/>
    <w:rsid w:val="0018357F"/>
    <w:rsid w:val="00184557"/>
    <w:rsid w:val="00184981"/>
    <w:rsid w:val="00184B3F"/>
    <w:rsid w:val="00184B9E"/>
    <w:rsid w:val="001856A3"/>
    <w:rsid w:val="0018576F"/>
    <w:rsid w:val="001859BB"/>
    <w:rsid w:val="00185DB6"/>
    <w:rsid w:val="00185F8A"/>
    <w:rsid w:val="00185FC2"/>
    <w:rsid w:val="00186766"/>
    <w:rsid w:val="001871F2"/>
    <w:rsid w:val="00187B97"/>
    <w:rsid w:val="001905E7"/>
    <w:rsid w:val="00190A06"/>
    <w:rsid w:val="00191854"/>
    <w:rsid w:val="0019231E"/>
    <w:rsid w:val="00192E75"/>
    <w:rsid w:val="001931BB"/>
    <w:rsid w:val="001936D0"/>
    <w:rsid w:val="0019391F"/>
    <w:rsid w:val="001945B4"/>
    <w:rsid w:val="001954E6"/>
    <w:rsid w:val="001955C0"/>
    <w:rsid w:val="0019580A"/>
    <w:rsid w:val="0019588A"/>
    <w:rsid w:val="00195EB2"/>
    <w:rsid w:val="0019602E"/>
    <w:rsid w:val="0019656A"/>
    <w:rsid w:val="0019693F"/>
    <w:rsid w:val="001974C3"/>
    <w:rsid w:val="001977AE"/>
    <w:rsid w:val="001A055E"/>
    <w:rsid w:val="001A05A6"/>
    <w:rsid w:val="001A0819"/>
    <w:rsid w:val="001A20D2"/>
    <w:rsid w:val="001A2A17"/>
    <w:rsid w:val="001A2A9B"/>
    <w:rsid w:val="001A2B3A"/>
    <w:rsid w:val="001A31C9"/>
    <w:rsid w:val="001A383C"/>
    <w:rsid w:val="001A38BF"/>
    <w:rsid w:val="001A4794"/>
    <w:rsid w:val="001A530C"/>
    <w:rsid w:val="001A573B"/>
    <w:rsid w:val="001A5D02"/>
    <w:rsid w:val="001A5E13"/>
    <w:rsid w:val="001A5E6D"/>
    <w:rsid w:val="001A70D8"/>
    <w:rsid w:val="001A755D"/>
    <w:rsid w:val="001A759C"/>
    <w:rsid w:val="001B058F"/>
    <w:rsid w:val="001B077B"/>
    <w:rsid w:val="001B0D02"/>
    <w:rsid w:val="001B2374"/>
    <w:rsid w:val="001B262E"/>
    <w:rsid w:val="001B295B"/>
    <w:rsid w:val="001B2F11"/>
    <w:rsid w:val="001B342B"/>
    <w:rsid w:val="001B34E1"/>
    <w:rsid w:val="001B4076"/>
    <w:rsid w:val="001B41BD"/>
    <w:rsid w:val="001B45B8"/>
    <w:rsid w:val="001B4826"/>
    <w:rsid w:val="001B4E50"/>
    <w:rsid w:val="001B5B3B"/>
    <w:rsid w:val="001B5DF6"/>
    <w:rsid w:val="001B60B4"/>
    <w:rsid w:val="001B6516"/>
    <w:rsid w:val="001B6ED4"/>
    <w:rsid w:val="001B700D"/>
    <w:rsid w:val="001B70E7"/>
    <w:rsid w:val="001B734B"/>
    <w:rsid w:val="001B7CCB"/>
    <w:rsid w:val="001B7D8D"/>
    <w:rsid w:val="001C0061"/>
    <w:rsid w:val="001C00D7"/>
    <w:rsid w:val="001C067E"/>
    <w:rsid w:val="001C0CF3"/>
    <w:rsid w:val="001C0DBB"/>
    <w:rsid w:val="001C0F8B"/>
    <w:rsid w:val="001C11CB"/>
    <w:rsid w:val="001C152E"/>
    <w:rsid w:val="001C1967"/>
    <w:rsid w:val="001C1B3C"/>
    <w:rsid w:val="001C2293"/>
    <w:rsid w:val="001C2ADB"/>
    <w:rsid w:val="001C2BF2"/>
    <w:rsid w:val="001C3731"/>
    <w:rsid w:val="001C38A5"/>
    <w:rsid w:val="001C3A4F"/>
    <w:rsid w:val="001C3CED"/>
    <w:rsid w:val="001C3DCD"/>
    <w:rsid w:val="001C3EB6"/>
    <w:rsid w:val="001C452F"/>
    <w:rsid w:val="001C54BF"/>
    <w:rsid w:val="001C554D"/>
    <w:rsid w:val="001C5975"/>
    <w:rsid w:val="001C611E"/>
    <w:rsid w:val="001C62EF"/>
    <w:rsid w:val="001C6815"/>
    <w:rsid w:val="001C6B61"/>
    <w:rsid w:val="001C70B5"/>
    <w:rsid w:val="001C7125"/>
    <w:rsid w:val="001C7229"/>
    <w:rsid w:val="001C753C"/>
    <w:rsid w:val="001C77FB"/>
    <w:rsid w:val="001C7EBD"/>
    <w:rsid w:val="001C7FDF"/>
    <w:rsid w:val="001D03DE"/>
    <w:rsid w:val="001D045C"/>
    <w:rsid w:val="001D0A76"/>
    <w:rsid w:val="001D0C6A"/>
    <w:rsid w:val="001D1543"/>
    <w:rsid w:val="001D187D"/>
    <w:rsid w:val="001D21D2"/>
    <w:rsid w:val="001D2531"/>
    <w:rsid w:val="001D2E8C"/>
    <w:rsid w:val="001D30A0"/>
    <w:rsid w:val="001D33A7"/>
    <w:rsid w:val="001D3F6C"/>
    <w:rsid w:val="001D5368"/>
    <w:rsid w:val="001D53C6"/>
    <w:rsid w:val="001D5541"/>
    <w:rsid w:val="001D5888"/>
    <w:rsid w:val="001D6A35"/>
    <w:rsid w:val="001D6C6B"/>
    <w:rsid w:val="001D6E24"/>
    <w:rsid w:val="001D7DEA"/>
    <w:rsid w:val="001E04B3"/>
    <w:rsid w:val="001E0982"/>
    <w:rsid w:val="001E0C94"/>
    <w:rsid w:val="001E0EBD"/>
    <w:rsid w:val="001E1052"/>
    <w:rsid w:val="001E1071"/>
    <w:rsid w:val="001E13B0"/>
    <w:rsid w:val="001E14AA"/>
    <w:rsid w:val="001E234E"/>
    <w:rsid w:val="001E2423"/>
    <w:rsid w:val="001E2451"/>
    <w:rsid w:val="001E295F"/>
    <w:rsid w:val="001E2B48"/>
    <w:rsid w:val="001E2BC3"/>
    <w:rsid w:val="001E2C83"/>
    <w:rsid w:val="001E2D7F"/>
    <w:rsid w:val="001E3044"/>
    <w:rsid w:val="001E32EE"/>
    <w:rsid w:val="001E3442"/>
    <w:rsid w:val="001E4328"/>
    <w:rsid w:val="001E487C"/>
    <w:rsid w:val="001E4CB9"/>
    <w:rsid w:val="001E5B27"/>
    <w:rsid w:val="001E5B8F"/>
    <w:rsid w:val="001E604A"/>
    <w:rsid w:val="001E6890"/>
    <w:rsid w:val="001E69F6"/>
    <w:rsid w:val="001E7523"/>
    <w:rsid w:val="001E7940"/>
    <w:rsid w:val="001F0168"/>
    <w:rsid w:val="001F0DA9"/>
    <w:rsid w:val="001F22A7"/>
    <w:rsid w:val="001F2518"/>
    <w:rsid w:val="001F2850"/>
    <w:rsid w:val="001F4810"/>
    <w:rsid w:val="001F4AD3"/>
    <w:rsid w:val="001F4FB2"/>
    <w:rsid w:val="001F4FE3"/>
    <w:rsid w:val="001F4FFB"/>
    <w:rsid w:val="001F5229"/>
    <w:rsid w:val="001F642D"/>
    <w:rsid w:val="001F74A5"/>
    <w:rsid w:val="001F762A"/>
    <w:rsid w:val="001F76AF"/>
    <w:rsid w:val="001F78D1"/>
    <w:rsid w:val="00200605"/>
    <w:rsid w:val="002006E3"/>
    <w:rsid w:val="0020079B"/>
    <w:rsid w:val="00200A94"/>
    <w:rsid w:val="00200DE1"/>
    <w:rsid w:val="00201516"/>
    <w:rsid w:val="00201579"/>
    <w:rsid w:val="00201B40"/>
    <w:rsid w:val="002034D7"/>
    <w:rsid w:val="00204657"/>
    <w:rsid w:val="00204DB1"/>
    <w:rsid w:val="00205D2C"/>
    <w:rsid w:val="002060C1"/>
    <w:rsid w:val="0020667C"/>
    <w:rsid w:val="002068F7"/>
    <w:rsid w:val="00206D2D"/>
    <w:rsid w:val="002071D1"/>
    <w:rsid w:val="0020738F"/>
    <w:rsid w:val="002076E7"/>
    <w:rsid w:val="0020791F"/>
    <w:rsid w:val="00207D0E"/>
    <w:rsid w:val="002103F2"/>
    <w:rsid w:val="00210505"/>
    <w:rsid w:val="00210934"/>
    <w:rsid w:val="002116F7"/>
    <w:rsid w:val="00211BF3"/>
    <w:rsid w:val="002123C3"/>
    <w:rsid w:val="002124A9"/>
    <w:rsid w:val="0021351B"/>
    <w:rsid w:val="00213A9E"/>
    <w:rsid w:val="00214D91"/>
    <w:rsid w:val="00214F69"/>
    <w:rsid w:val="00215007"/>
    <w:rsid w:val="002151D7"/>
    <w:rsid w:val="00215553"/>
    <w:rsid w:val="00215588"/>
    <w:rsid w:val="0021562F"/>
    <w:rsid w:val="00215789"/>
    <w:rsid w:val="00215C6D"/>
    <w:rsid w:val="00215CA4"/>
    <w:rsid w:val="002160F3"/>
    <w:rsid w:val="002161D9"/>
    <w:rsid w:val="002162C0"/>
    <w:rsid w:val="002163CF"/>
    <w:rsid w:val="0021666C"/>
    <w:rsid w:val="00216A5B"/>
    <w:rsid w:val="00216D69"/>
    <w:rsid w:val="00216F0D"/>
    <w:rsid w:val="0021754A"/>
    <w:rsid w:val="0021772A"/>
    <w:rsid w:val="002209DF"/>
    <w:rsid w:val="00220F20"/>
    <w:rsid w:val="00220F26"/>
    <w:rsid w:val="0022110B"/>
    <w:rsid w:val="00221356"/>
    <w:rsid w:val="00222080"/>
    <w:rsid w:val="002223B1"/>
    <w:rsid w:val="00222F55"/>
    <w:rsid w:val="002230F6"/>
    <w:rsid w:val="00223BE3"/>
    <w:rsid w:val="00223F98"/>
    <w:rsid w:val="0022443D"/>
    <w:rsid w:val="0022452C"/>
    <w:rsid w:val="00224F85"/>
    <w:rsid w:val="002251C4"/>
    <w:rsid w:val="002256F8"/>
    <w:rsid w:val="002257BD"/>
    <w:rsid w:val="00225A57"/>
    <w:rsid w:val="00225AEF"/>
    <w:rsid w:val="002263B1"/>
    <w:rsid w:val="00226E04"/>
    <w:rsid w:val="00227C26"/>
    <w:rsid w:val="00230101"/>
    <w:rsid w:val="002302E0"/>
    <w:rsid w:val="00230758"/>
    <w:rsid w:val="002307C4"/>
    <w:rsid w:val="00230985"/>
    <w:rsid w:val="002312CD"/>
    <w:rsid w:val="002312F5"/>
    <w:rsid w:val="00231A72"/>
    <w:rsid w:val="00231B01"/>
    <w:rsid w:val="00231F59"/>
    <w:rsid w:val="00232240"/>
    <w:rsid w:val="00232531"/>
    <w:rsid w:val="00232725"/>
    <w:rsid w:val="00232D2C"/>
    <w:rsid w:val="00232E9A"/>
    <w:rsid w:val="002337E9"/>
    <w:rsid w:val="00233FB1"/>
    <w:rsid w:val="00234127"/>
    <w:rsid w:val="0023419B"/>
    <w:rsid w:val="00234B1F"/>
    <w:rsid w:val="0023584F"/>
    <w:rsid w:val="002359D6"/>
    <w:rsid w:val="00235F21"/>
    <w:rsid w:val="00235F22"/>
    <w:rsid w:val="002360BC"/>
    <w:rsid w:val="002363EC"/>
    <w:rsid w:val="00236824"/>
    <w:rsid w:val="002372A1"/>
    <w:rsid w:val="00237BE5"/>
    <w:rsid w:val="00237CD9"/>
    <w:rsid w:val="00240CA1"/>
    <w:rsid w:val="00240F8B"/>
    <w:rsid w:val="00241682"/>
    <w:rsid w:val="002418D0"/>
    <w:rsid w:val="00241D56"/>
    <w:rsid w:val="0024222C"/>
    <w:rsid w:val="0024293C"/>
    <w:rsid w:val="002430EF"/>
    <w:rsid w:val="00243158"/>
    <w:rsid w:val="00243664"/>
    <w:rsid w:val="00243A43"/>
    <w:rsid w:val="00243AAA"/>
    <w:rsid w:val="00243CAB"/>
    <w:rsid w:val="00243DD9"/>
    <w:rsid w:val="002443CA"/>
    <w:rsid w:val="00244754"/>
    <w:rsid w:val="002449D2"/>
    <w:rsid w:val="002457D1"/>
    <w:rsid w:val="00245A73"/>
    <w:rsid w:val="00246381"/>
    <w:rsid w:val="002464DF"/>
    <w:rsid w:val="00246A6B"/>
    <w:rsid w:val="00246A76"/>
    <w:rsid w:val="00246B90"/>
    <w:rsid w:val="0024722B"/>
    <w:rsid w:val="00247259"/>
    <w:rsid w:val="002509A6"/>
    <w:rsid w:val="002510CC"/>
    <w:rsid w:val="00251210"/>
    <w:rsid w:val="0025158B"/>
    <w:rsid w:val="00251AE3"/>
    <w:rsid w:val="0025216B"/>
    <w:rsid w:val="002523AF"/>
    <w:rsid w:val="00252581"/>
    <w:rsid w:val="00252710"/>
    <w:rsid w:val="0025375D"/>
    <w:rsid w:val="00253B28"/>
    <w:rsid w:val="0025466A"/>
    <w:rsid w:val="00254A03"/>
    <w:rsid w:val="00254A73"/>
    <w:rsid w:val="00254B2B"/>
    <w:rsid w:val="00254C56"/>
    <w:rsid w:val="00254CEE"/>
    <w:rsid w:val="002555C7"/>
    <w:rsid w:val="00255AAD"/>
    <w:rsid w:val="00255E9F"/>
    <w:rsid w:val="002561EB"/>
    <w:rsid w:val="0025685B"/>
    <w:rsid w:val="00256885"/>
    <w:rsid w:val="002570CE"/>
    <w:rsid w:val="00257359"/>
    <w:rsid w:val="002575F6"/>
    <w:rsid w:val="0025776D"/>
    <w:rsid w:val="002577A5"/>
    <w:rsid w:val="00257EB5"/>
    <w:rsid w:val="00257ECF"/>
    <w:rsid w:val="00260487"/>
    <w:rsid w:val="00260489"/>
    <w:rsid w:val="0026093C"/>
    <w:rsid w:val="00260948"/>
    <w:rsid w:val="00260F43"/>
    <w:rsid w:val="002613C0"/>
    <w:rsid w:val="0026169F"/>
    <w:rsid w:val="002617FD"/>
    <w:rsid w:val="00261883"/>
    <w:rsid w:val="00261BAC"/>
    <w:rsid w:val="00261E1D"/>
    <w:rsid w:val="00261F51"/>
    <w:rsid w:val="00262102"/>
    <w:rsid w:val="0026218D"/>
    <w:rsid w:val="00262641"/>
    <w:rsid w:val="00262D50"/>
    <w:rsid w:val="00263601"/>
    <w:rsid w:val="002639C3"/>
    <w:rsid w:val="002639E5"/>
    <w:rsid w:val="00263B0C"/>
    <w:rsid w:val="00263BE4"/>
    <w:rsid w:val="002648EB"/>
    <w:rsid w:val="002654FD"/>
    <w:rsid w:val="00265677"/>
    <w:rsid w:val="00266193"/>
    <w:rsid w:val="00266476"/>
    <w:rsid w:val="00267C16"/>
    <w:rsid w:val="00267DEE"/>
    <w:rsid w:val="00270022"/>
    <w:rsid w:val="00270251"/>
    <w:rsid w:val="00270278"/>
    <w:rsid w:val="00270705"/>
    <w:rsid w:val="0027082F"/>
    <w:rsid w:val="00270951"/>
    <w:rsid w:val="00270ACB"/>
    <w:rsid w:val="002712B8"/>
    <w:rsid w:val="002713CB"/>
    <w:rsid w:val="0027165F"/>
    <w:rsid w:val="00271A53"/>
    <w:rsid w:val="00271D9F"/>
    <w:rsid w:val="00271EB5"/>
    <w:rsid w:val="00272079"/>
    <w:rsid w:val="00272351"/>
    <w:rsid w:val="002726F0"/>
    <w:rsid w:val="00272702"/>
    <w:rsid w:val="0027368C"/>
    <w:rsid w:val="0027388F"/>
    <w:rsid w:val="00273899"/>
    <w:rsid w:val="00273984"/>
    <w:rsid w:val="00273E4A"/>
    <w:rsid w:val="00273FC1"/>
    <w:rsid w:val="002744BB"/>
    <w:rsid w:val="00274639"/>
    <w:rsid w:val="002748EE"/>
    <w:rsid w:val="00274C6D"/>
    <w:rsid w:val="002751FF"/>
    <w:rsid w:val="00275BAA"/>
    <w:rsid w:val="00276632"/>
    <w:rsid w:val="002766FF"/>
    <w:rsid w:val="00277112"/>
    <w:rsid w:val="00280856"/>
    <w:rsid w:val="00281432"/>
    <w:rsid w:val="002815D7"/>
    <w:rsid w:val="0028162A"/>
    <w:rsid w:val="0028221F"/>
    <w:rsid w:val="0028306D"/>
    <w:rsid w:val="0028324F"/>
    <w:rsid w:val="0028367E"/>
    <w:rsid w:val="002837F0"/>
    <w:rsid w:val="00283964"/>
    <w:rsid w:val="00283D88"/>
    <w:rsid w:val="00283EA7"/>
    <w:rsid w:val="00284627"/>
    <w:rsid w:val="00284D6D"/>
    <w:rsid w:val="002856D4"/>
    <w:rsid w:val="0028611F"/>
    <w:rsid w:val="002861F2"/>
    <w:rsid w:val="00287317"/>
    <w:rsid w:val="0029014A"/>
    <w:rsid w:val="0029034A"/>
    <w:rsid w:val="002905B2"/>
    <w:rsid w:val="002906A9"/>
    <w:rsid w:val="00290A7D"/>
    <w:rsid w:val="002919D6"/>
    <w:rsid w:val="00291B3E"/>
    <w:rsid w:val="00291D08"/>
    <w:rsid w:val="00291F1B"/>
    <w:rsid w:val="00292335"/>
    <w:rsid w:val="002926C6"/>
    <w:rsid w:val="002929E0"/>
    <w:rsid w:val="00292D5E"/>
    <w:rsid w:val="00293790"/>
    <w:rsid w:val="0029478E"/>
    <w:rsid w:val="00295348"/>
    <w:rsid w:val="002965A5"/>
    <w:rsid w:val="002965DC"/>
    <w:rsid w:val="00296D04"/>
    <w:rsid w:val="00296FAA"/>
    <w:rsid w:val="00297FF2"/>
    <w:rsid w:val="002A0238"/>
    <w:rsid w:val="002A0907"/>
    <w:rsid w:val="002A0C19"/>
    <w:rsid w:val="002A0D18"/>
    <w:rsid w:val="002A0E4D"/>
    <w:rsid w:val="002A0ED1"/>
    <w:rsid w:val="002A120F"/>
    <w:rsid w:val="002A1409"/>
    <w:rsid w:val="002A1EB5"/>
    <w:rsid w:val="002A21B6"/>
    <w:rsid w:val="002A2E16"/>
    <w:rsid w:val="002A2FD5"/>
    <w:rsid w:val="002A31E1"/>
    <w:rsid w:val="002A36F6"/>
    <w:rsid w:val="002A3815"/>
    <w:rsid w:val="002A39F9"/>
    <w:rsid w:val="002A3ABA"/>
    <w:rsid w:val="002A423C"/>
    <w:rsid w:val="002A45AB"/>
    <w:rsid w:val="002A460F"/>
    <w:rsid w:val="002A5A2A"/>
    <w:rsid w:val="002A61CE"/>
    <w:rsid w:val="002A629A"/>
    <w:rsid w:val="002A6670"/>
    <w:rsid w:val="002A6A52"/>
    <w:rsid w:val="002A6F55"/>
    <w:rsid w:val="002A70C5"/>
    <w:rsid w:val="002A73C2"/>
    <w:rsid w:val="002A7D5C"/>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55FA"/>
    <w:rsid w:val="002B5A30"/>
    <w:rsid w:val="002B626B"/>
    <w:rsid w:val="002B6DBF"/>
    <w:rsid w:val="002B6E26"/>
    <w:rsid w:val="002B717A"/>
    <w:rsid w:val="002B76C1"/>
    <w:rsid w:val="002B7766"/>
    <w:rsid w:val="002B7E81"/>
    <w:rsid w:val="002C083C"/>
    <w:rsid w:val="002C0BD3"/>
    <w:rsid w:val="002C0DDA"/>
    <w:rsid w:val="002C10D9"/>
    <w:rsid w:val="002C1287"/>
    <w:rsid w:val="002C21E7"/>
    <w:rsid w:val="002C2A4A"/>
    <w:rsid w:val="002C3350"/>
    <w:rsid w:val="002C3411"/>
    <w:rsid w:val="002C3469"/>
    <w:rsid w:val="002C3A5F"/>
    <w:rsid w:val="002C40C9"/>
    <w:rsid w:val="002C446D"/>
    <w:rsid w:val="002C462F"/>
    <w:rsid w:val="002C46A9"/>
    <w:rsid w:val="002C47D2"/>
    <w:rsid w:val="002C49B0"/>
    <w:rsid w:val="002C4CAD"/>
    <w:rsid w:val="002C4FE4"/>
    <w:rsid w:val="002C564D"/>
    <w:rsid w:val="002C5B8F"/>
    <w:rsid w:val="002C67DF"/>
    <w:rsid w:val="002C7609"/>
    <w:rsid w:val="002D0AE8"/>
    <w:rsid w:val="002D18EF"/>
    <w:rsid w:val="002D2145"/>
    <w:rsid w:val="002D21FD"/>
    <w:rsid w:val="002D2A08"/>
    <w:rsid w:val="002D3038"/>
    <w:rsid w:val="002D3076"/>
    <w:rsid w:val="002D3652"/>
    <w:rsid w:val="002D36D8"/>
    <w:rsid w:val="002D37D7"/>
    <w:rsid w:val="002D3ED8"/>
    <w:rsid w:val="002D49C1"/>
    <w:rsid w:val="002D52A5"/>
    <w:rsid w:val="002D5308"/>
    <w:rsid w:val="002D566E"/>
    <w:rsid w:val="002D5B9F"/>
    <w:rsid w:val="002D7347"/>
    <w:rsid w:val="002D739A"/>
    <w:rsid w:val="002D77D9"/>
    <w:rsid w:val="002D7B17"/>
    <w:rsid w:val="002E043F"/>
    <w:rsid w:val="002E1FD0"/>
    <w:rsid w:val="002E3C7B"/>
    <w:rsid w:val="002E4172"/>
    <w:rsid w:val="002E4FD9"/>
    <w:rsid w:val="002E4FF0"/>
    <w:rsid w:val="002E6273"/>
    <w:rsid w:val="002E6BA9"/>
    <w:rsid w:val="002E7004"/>
    <w:rsid w:val="002E7D35"/>
    <w:rsid w:val="002F05A6"/>
    <w:rsid w:val="002F11D1"/>
    <w:rsid w:val="002F1C21"/>
    <w:rsid w:val="002F1C9D"/>
    <w:rsid w:val="002F1E7B"/>
    <w:rsid w:val="002F2E19"/>
    <w:rsid w:val="002F3313"/>
    <w:rsid w:val="002F3A18"/>
    <w:rsid w:val="002F4D0A"/>
    <w:rsid w:val="002F4E14"/>
    <w:rsid w:val="002F4F69"/>
    <w:rsid w:val="002F582B"/>
    <w:rsid w:val="002F58B5"/>
    <w:rsid w:val="002F611B"/>
    <w:rsid w:val="002F6223"/>
    <w:rsid w:val="002F66FB"/>
    <w:rsid w:val="002F6BF0"/>
    <w:rsid w:val="002F6F01"/>
    <w:rsid w:val="002F79FB"/>
    <w:rsid w:val="002F7E40"/>
    <w:rsid w:val="003000F7"/>
    <w:rsid w:val="00300F9C"/>
    <w:rsid w:val="00301C2F"/>
    <w:rsid w:val="00302BD3"/>
    <w:rsid w:val="0030390D"/>
    <w:rsid w:val="003047B2"/>
    <w:rsid w:val="0030497B"/>
    <w:rsid w:val="00304EB8"/>
    <w:rsid w:val="00305100"/>
    <w:rsid w:val="00305368"/>
    <w:rsid w:val="00305F1F"/>
    <w:rsid w:val="00306181"/>
    <w:rsid w:val="0030626A"/>
    <w:rsid w:val="00306819"/>
    <w:rsid w:val="0030682B"/>
    <w:rsid w:val="003077DB"/>
    <w:rsid w:val="00307931"/>
    <w:rsid w:val="00307F7F"/>
    <w:rsid w:val="003100C8"/>
    <w:rsid w:val="003101EA"/>
    <w:rsid w:val="00310A7D"/>
    <w:rsid w:val="00310EAC"/>
    <w:rsid w:val="003110FC"/>
    <w:rsid w:val="00311E01"/>
    <w:rsid w:val="00312AFD"/>
    <w:rsid w:val="00312D1B"/>
    <w:rsid w:val="003131B3"/>
    <w:rsid w:val="0031329E"/>
    <w:rsid w:val="0031356F"/>
    <w:rsid w:val="00313B19"/>
    <w:rsid w:val="00313B5B"/>
    <w:rsid w:val="00313FFF"/>
    <w:rsid w:val="003141C3"/>
    <w:rsid w:val="00314219"/>
    <w:rsid w:val="0031433C"/>
    <w:rsid w:val="0031435C"/>
    <w:rsid w:val="00314AD1"/>
    <w:rsid w:val="00314B2B"/>
    <w:rsid w:val="00314C65"/>
    <w:rsid w:val="0031530C"/>
    <w:rsid w:val="003155E0"/>
    <w:rsid w:val="00315C87"/>
    <w:rsid w:val="00315CC7"/>
    <w:rsid w:val="003160EE"/>
    <w:rsid w:val="003169E7"/>
    <w:rsid w:val="00316E8C"/>
    <w:rsid w:val="003178C4"/>
    <w:rsid w:val="00317B93"/>
    <w:rsid w:val="00317BE4"/>
    <w:rsid w:val="00317E82"/>
    <w:rsid w:val="003206F3"/>
    <w:rsid w:val="00320B73"/>
    <w:rsid w:val="003210E7"/>
    <w:rsid w:val="003214B9"/>
    <w:rsid w:val="003221D4"/>
    <w:rsid w:val="00322B9C"/>
    <w:rsid w:val="00322E56"/>
    <w:rsid w:val="00322EFC"/>
    <w:rsid w:val="00323A4C"/>
    <w:rsid w:val="00323FB2"/>
    <w:rsid w:val="003244D8"/>
    <w:rsid w:val="00325732"/>
    <w:rsid w:val="00325805"/>
    <w:rsid w:val="0032592F"/>
    <w:rsid w:val="00326BAC"/>
    <w:rsid w:val="00330CAF"/>
    <w:rsid w:val="00330E5E"/>
    <w:rsid w:val="00330F21"/>
    <w:rsid w:val="0033182D"/>
    <w:rsid w:val="00331FCD"/>
    <w:rsid w:val="00332B0C"/>
    <w:rsid w:val="00332D89"/>
    <w:rsid w:val="00333CF9"/>
    <w:rsid w:val="00333E55"/>
    <w:rsid w:val="00334CAF"/>
    <w:rsid w:val="00334D57"/>
    <w:rsid w:val="00334E4B"/>
    <w:rsid w:val="003353D2"/>
    <w:rsid w:val="00335586"/>
    <w:rsid w:val="00335AB7"/>
    <w:rsid w:val="00335D3C"/>
    <w:rsid w:val="00336344"/>
    <w:rsid w:val="003365BE"/>
    <w:rsid w:val="003373C1"/>
    <w:rsid w:val="003379C7"/>
    <w:rsid w:val="00337CF7"/>
    <w:rsid w:val="00337F3A"/>
    <w:rsid w:val="00340405"/>
    <w:rsid w:val="00340D3E"/>
    <w:rsid w:val="00341FC7"/>
    <w:rsid w:val="003421D3"/>
    <w:rsid w:val="00343270"/>
    <w:rsid w:val="003437D8"/>
    <w:rsid w:val="00343A18"/>
    <w:rsid w:val="00343D9F"/>
    <w:rsid w:val="00344091"/>
    <w:rsid w:val="003445E6"/>
    <w:rsid w:val="00344BF4"/>
    <w:rsid w:val="00344EAA"/>
    <w:rsid w:val="00344EE2"/>
    <w:rsid w:val="00344F66"/>
    <w:rsid w:val="00345C05"/>
    <w:rsid w:val="00345DFE"/>
    <w:rsid w:val="00346626"/>
    <w:rsid w:val="003466EE"/>
    <w:rsid w:val="00346C65"/>
    <w:rsid w:val="003477F0"/>
    <w:rsid w:val="00347805"/>
    <w:rsid w:val="0034795B"/>
    <w:rsid w:val="00347A79"/>
    <w:rsid w:val="003501D5"/>
    <w:rsid w:val="003507CD"/>
    <w:rsid w:val="00350F33"/>
    <w:rsid w:val="003512FE"/>
    <w:rsid w:val="00351799"/>
    <w:rsid w:val="003520CF"/>
    <w:rsid w:val="003521BD"/>
    <w:rsid w:val="003528D4"/>
    <w:rsid w:val="00353391"/>
    <w:rsid w:val="00353C6A"/>
    <w:rsid w:val="00354144"/>
    <w:rsid w:val="00354E7C"/>
    <w:rsid w:val="003554E9"/>
    <w:rsid w:val="00355F78"/>
    <w:rsid w:val="00357775"/>
    <w:rsid w:val="003577F7"/>
    <w:rsid w:val="00357D08"/>
    <w:rsid w:val="00357FF5"/>
    <w:rsid w:val="0036000C"/>
    <w:rsid w:val="00360E6C"/>
    <w:rsid w:val="00360E8A"/>
    <w:rsid w:val="00360FF3"/>
    <w:rsid w:val="0036160D"/>
    <w:rsid w:val="00361C13"/>
    <w:rsid w:val="00361C8F"/>
    <w:rsid w:val="00361E61"/>
    <w:rsid w:val="0036277D"/>
    <w:rsid w:val="003629AD"/>
    <w:rsid w:val="00362E20"/>
    <w:rsid w:val="003631CC"/>
    <w:rsid w:val="00363357"/>
    <w:rsid w:val="00364633"/>
    <w:rsid w:val="0036473F"/>
    <w:rsid w:val="00364ABC"/>
    <w:rsid w:val="00364F4B"/>
    <w:rsid w:val="0036625D"/>
    <w:rsid w:val="003664CA"/>
    <w:rsid w:val="00366612"/>
    <w:rsid w:val="003667AC"/>
    <w:rsid w:val="00367515"/>
    <w:rsid w:val="00367D15"/>
    <w:rsid w:val="00370DD4"/>
    <w:rsid w:val="00370E87"/>
    <w:rsid w:val="003725D2"/>
    <w:rsid w:val="0037269D"/>
    <w:rsid w:val="00372E3C"/>
    <w:rsid w:val="00373341"/>
    <w:rsid w:val="003736F8"/>
    <w:rsid w:val="0037399B"/>
    <w:rsid w:val="00376369"/>
    <w:rsid w:val="00376FD7"/>
    <w:rsid w:val="00377CCD"/>
    <w:rsid w:val="00377EEC"/>
    <w:rsid w:val="00380060"/>
    <w:rsid w:val="00380DA5"/>
    <w:rsid w:val="00381A3A"/>
    <w:rsid w:val="00381D67"/>
    <w:rsid w:val="00381E05"/>
    <w:rsid w:val="0038239B"/>
    <w:rsid w:val="003824E5"/>
    <w:rsid w:val="00382778"/>
    <w:rsid w:val="00382A7D"/>
    <w:rsid w:val="00382B57"/>
    <w:rsid w:val="0038318B"/>
    <w:rsid w:val="00383BFA"/>
    <w:rsid w:val="00384024"/>
    <w:rsid w:val="00384663"/>
    <w:rsid w:val="00385200"/>
    <w:rsid w:val="003861CD"/>
    <w:rsid w:val="003862D8"/>
    <w:rsid w:val="00387308"/>
    <w:rsid w:val="003876C9"/>
    <w:rsid w:val="00387A05"/>
    <w:rsid w:val="00387FD1"/>
    <w:rsid w:val="00390926"/>
    <w:rsid w:val="00390C99"/>
    <w:rsid w:val="00390D0D"/>
    <w:rsid w:val="00390FB3"/>
    <w:rsid w:val="003914A1"/>
    <w:rsid w:val="00391B04"/>
    <w:rsid w:val="00391BE8"/>
    <w:rsid w:val="00391DE1"/>
    <w:rsid w:val="0039207A"/>
    <w:rsid w:val="003922AD"/>
    <w:rsid w:val="003929B5"/>
    <w:rsid w:val="00392D4F"/>
    <w:rsid w:val="003934AD"/>
    <w:rsid w:val="00393EAA"/>
    <w:rsid w:val="003945C3"/>
    <w:rsid w:val="003949F0"/>
    <w:rsid w:val="00395FCF"/>
    <w:rsid w:val="00396162"/>
    <w:rsid w:val="00396757"/>
    <w:rsid w:val="00396FBB"/>
    <w:rsid w:val="003973EB"/>
    <w:rsid w:val="00397CA1"/>
    <w:rsid w:val="00397CA4"/>
    <w:rsid w:val="00397D76"/>
    <w:rsid w:val="003A00F2"/>
    <w:rsid w:val="003A03E4"/>
    <w:rsid w:val="003A04C8"/>
    <w:rsid w:val="003A08AE"/>
    <w:rsid w:val="003A0E18"/>
    <w:rsid w:val="003A17B8"/>
    <w:rsid w:val="003A1A3B"/>
    <w:rsid w:val="003A23E4"/>
    <w:rsid w:val="003A4414"/>
    <w:rsid w:val="003A44C4"/>
    <w:rsid w:val="003A470D"/>
    <w:rsid w:val="003A49A3"/>
    <w:rsid w:val="003A4A8C"/>
    <w:rsid w:val="003A4C29"/>
    <w:rsid w:val="003A5216"/>
    <w:rsid w:val="003A553A"/>
    <w:rsid w:val="003A57D9"/>
    <w:rsid w:val="003A58EC"/>
    <w:rsid w:val="003A5D3A"/>
    <w:rsid w:val="003A5EC6"/>
    <w:rsid w:val="003A603C"/>
    <w:rsid w:val="003A68C8"/>
    <w:rsid w:val="003A6A52"/>
    <w:rsid w:val="003A6FE2"/>
    <w:rsid w:val="003A70C9"/>
    <w:rsid w:val="003A77B4"/>
    <w:rsid w:val="003A7D5E"/>
    <w:rsid w:val="003B0109"/>
    <w:rsid w:val="003B0329"/>
    <w:rsid w:val="003B0BFF"/>
    <w:rsid w:val="003B1032"/>
    <w:rsid w:val="003B165C"/>
    <w:rsid w:val="003B1BAC"/>
    <w:rsid w:val="003B1D66"/>
    <w:rsid w:val="003B3833"/>
    <w:rsid w:val="003B46AC"/>
    <w:rsid w:val="003B4A0F"/>
    <w:rsid w:val="003B4F59"/>
    <w:rsid w:val="003B54F3"/>
    <w:rsid w:val="003B5BC9"/>
    <w:rsid w:val="003B5C4C"/>
    <w:rsid w:val="003B5E82"/>
    <w:rsid w:val="003C0257"/>
    <w:rsid w:val="003C0550"/>
    <w:rsid w:val="003C0D0F"/>
    <w:rsid w:val="003C1273"/>
    <w:rsid w:val="003C1515"/>
    <w:rsid w:val="003C16E4"/>
    <w:rsid w:val="003C1E02"/>
    <w:rsid w:val="003C258E"/>
    <w:rsid w:val="003C265A"/>
    <w:rsid w:val="003C2B85"/>
    <w:rsid w:val="003C2F6D"/>
    <w:rsid w:val="003C325E"/>
    <w:rsid w:val="003C3283"/>
    <w:rsid w:val="003C3D2C"/>
    <w:rsid w:val="003C47D2"/>
    <w:rsid w:val="003C4829"/>
    <w:rsid w:val="003C489C"/>
    <w:rsid w:val="003C4BA2"/>
    <w:rsid w:val="003C501D"/>
    <w:rsid w:val="003C53FE"/>
    <w:rsid w:val="003C5465"/>
    <w:rsid w:val="003C5760"/>
    <w:rsid w:val="003C57E4"/>
    <w:rsid w:val="003C5BEC"/>
    <w:rsid w:val="003C6447"/>
    <w:rsid w:val="003C68E2"/>
    <w:rsid w:val="003C7354"/>
    <w:rsid w:val="003C73E4"/>
    <w:rsid w:val="003D0481"/>
    <w:rsid w:val="003D05F6"/>
    <w:rsid w:val="003D0825"/>
    <w:rsid w:val="003D0BA8"/>
    <w:rsid w:val="003D1A10"/>
    <w:rsid w:val="003D2069"/>
    <w:rsid w:val="003D24CF"/>
    <w:rsid w:val="003D2ACA"/>
    <w:rsid w:val="003D2C35"/>
    <w:rsid w:val="003D3114"/>
    <w:rsid w:val="003D3354"/>
    <w:rsid w:val="003D371E"/>
    <w:rsid w:val="003D3822"/>
    <w:rsid w:val="003D3F83"/>
    <w:rsid w:val="003D5E56"/>
    <w:rsid w:val="003D5E7A"/>
    <w:rsid w:val="003D6C01"/>
    <w:rsid w:val="003D6C54"/>
    <w:rsid w:val="003D707B"/>
    <w:rsid w:val="003D72CA"/>
    <w:rsid w:val="003D754B"/>
    <w:rsid w:val="003D7775"/>
    <w:rsid w:val="003D77F1"/>
    <w:rsid w:val="003D7A42"/>
    <w:rsid w:val="003D7B71"/>
    <w:rsid w:val="003D7E7F"/>
    <w:rsid w:val="003E09E8"/>
    <w:rsid w:val="003E0AAF"/>
    <w:rsid w:val="003E0BC1"/>
    <w:rsid w:val="003E0FE1"/>
    <w:rsid w:val="003E1549"/>
    <w:rsid w:val="003E1ED6"/>
    <w:rsid w:val="003E31D5"/>
    <w:rsid w:val="003E3E9B"/>
    <w:rsid w:val="003E43B7"/>
    <w:rsid w:val="003E4E68"/>
    <w:rsid w:val="003E56D6"/>
    <w:rsid w:val="003E5743"/>
    <w:rsid w:val="003E61C9"/>
    <w:rsid w:val="003E633F"/>
    <w:rsid w:val="003E69D8"/>
    <w:rsid w:val="003E6AAD"/>
    <w:rsid w:val="003E6CC1"/>
    <w:rsid w:val="003E714C"/>
    <w:rsid w:val="003E7367"/>
    <w:rsid w:val="003E74F4"/>
    <w:rsid w:val="003E7A07"/>
    <w:rsid w:val="003E7C75"/>
    <w:rsid w:val="003E7D5F"/>
    <w:rsid w:val="003E7FF5"/>
    <w:rsid w:val="003F0758"/>
    <w:rsid w:val="003F0F7A"/>
    <w:rsid w:val="003F107F"/>
    <w:rsid w:val="003F1336"/>
    <w:rsid w:val="003F1455"/>
    <w:rsid w:val="003F1880"/>
    <w:rsid w:val="003F18B4"/>
    <w:rsid w:val="003F1AEB"/>
    <w:rsid w:val="003F1EA8"/>
    <w:rsid w:val="003F1FDD"/>
    <w:rsid w:val="003F223C"/>
    <w:rsid w:val="003F2B4F"/>
    <w:rsid w:val="003F2DC5"/>
    <w:rsid w:val="003F3E3E"/>
    <w:rsid w:val="003F4FBD"/>
    <w:rsid w:val="003F545A"/>
    <w:rsid w:val="003F5CC9"/>
    <w:rsid w:val="003F5E32"/>
    <w:rsid w:val="003F5E34"/>
    <w:rsid w:val="003F6035"/>
    <w:rsid w:val="003F661E"/>
    <w:rsid w:val="003F673A"/>
    <w:rsid w:val="003F6957"/>
    <w:rsid w:val="003F72BB"/>
    <w:rsid w:val="003F76D6"/>
    <w:rsid w:val="003F77DB"/>
    <w:rsid w:val="00400446"/>
    <w:rsid w:val="00400C87"/>
    <w:rsid w:val="00400F8B"/>
    <w:rsid w:val="004011B1"/>
    <w:rsid w:val="0040193C"/>
    <w:rsid w:val="00401A03"/>
    <w:rsid w:val="00401B26"/>
    <w:rsid w:val="00401C01"/>
    <w:rsid w:val="004023FA"/>
    <w:rsid w:val="004028EE"/>
    <w:rsid w:val="00402D1D"/>
    <w:rsid w:val="00403605"/>
    <w:rsid w:val="00403C72"/>
    <w:rsid w:val="00404019"/>
    <w:rsid w:val="0040407D"/>
    <w:rsid w:val="00404616"/>
    <w:rsid w:val="00404E22"/>
    <w:rsid w:val="00405138"/>
    <w:rsid w:val="0040594F"/>
    <w:rsid w:val="00405EEC"/>
    <w:rsid w:val="0040619D"/>
    <w:rsid w:val="00406393"/>
    <w:rsid w:val="00406662"/>
    <w:rsid w:val="00406733"/>
    <w:rsid w:val="00406881"/>
    <w:rsid w:val="00406FC0"/>
    <w:rsid w:val="004107FD"/>
    <w:rsid w:val="00410A20"/>
    <w:rsid w:val="00410EB9"/>
    <w:rsid w:val="004119CE"/>
    <w:rsid w:val="00411FE7"/>
    <w:rsid w:val="0041270F"/>
    <w:rsid w:val="004133CC"/>
    <w:rsid w:val="00413562"/>
    <w:rsid w:val="004135D2"/>
    <w:rsid w:val="004135F7"/>
    <w:rsid w:val="00413708"/>
    <w:rsid w:val="00413916"/>
    <w:rsid w:val="00413CB9"/>
    <w:rsid w:val="00413DBF"/>
    <w:rsid w:val="004141C6"/>
    <w:rsid w:val="004141DE"/>
    <w:rsid w:val="004149E6"/>
    <w:rsid w:val="004149EB"/>
    <w:rsid w:val="00414D95"/>
    <w:rsid w:val="00415C59"/>
    <w:rsid w:val="004168FC"/>
    <w:rsid w:val="0041755A"/>
    <w:rsid w:val="00417D6C"/>
    <w:rsid w:val="004200AE"/>
    <w:rsid w:val="00420AA7"/>
    <w:rsid w:val="00420BBF"/>
    <w:rsid w:val="0042102C"/>
    <w:rsid w:val="00421082"/>
    <w:rsid w:val="00422070"/>
    <w:rsid w:val="00422B8D"/>
    <w:rsid w:val="00423346"/>
    <w:rsid w:val="0042367A"/>
    <w:rsid w:val="004239BE"/>
    <w:rsid w:val="00423C16"/>
    <w:rsid w:val="0042502A"/>
    <w:rsid w:val="00425378"/>
    <w:rsid w:val="00426308"/>
    <w:rsid w:val="004265A9"/>
    <w:rsid w:val="0042667C"/>
    <w:rsid w:val="004267A8"/>
    <w:rsid w:val="00426BC5"/>
    <w:rsid w:val="00426E1C"/>
    <w:rsid w:val="004272FF"/>
    <w:rsid w:val="00427907"/>
    <w:rsid w:val="00427CB0"/>
    <w:rsid w:val="00430517"/>
    <w:rsid w:val="00430C3C"/>
    <w:rsid w:val="00430EB8"/>
    <w:rsid w:val="0043167F"/>
    <w:rsid w:val="004319CF"/>
    <w:rsid w:val="004333CE"/>
    <w:rsid w:val="00433CC4"/>
    <w:rsid w:val="00433D88"/>
    <w:rsid w:val="0043406E"/>
    <w:rsid w:val="00434870"/>
    <w:rsid w:val="00435354"/>
    <w:rsid w:val="0043592A"/>
    <w:rsid w:val="00435FBE"/>
    <w:rsid w:val="0043605A"/>
    <w:rsid w:val="004372DC"/>
    <w:rsid w:val="00437570"/>
    <w:rsid w:val="004377DF"/>
    <w:rsid w:val="00437E59"/>
    <w:rsid w:val="00440809"/>
    <w:rsid w:val="00440817"/>
    <w:rsid w:val="00440A38"/>
    <w:rsid w:val="0044159D"/>
    <w:rsid w:val="00441BA4"/>
    <w:rsid w:val="004425DE"/>
    <w:rsid w:val="00442E0C"/>
    <w:rsid w:val="00443041"/>
    <w:rsid w:val="004432F4"/>
    <w:rsid w:val="00443C21"/>
    <w:rsid w:val="00443DEE"/>
    <w:rsid w:val="00443E2A"/>
    <w:rsid w:val="00444281"/>
    <w:rsid w:val="00444606"/>
    <w:rsid w:val="00444B49"/>
    <w:rsid w:val="00444E91"/>
    <w:rsid w:val="00445172"/>
    <w:rsid w:val="00445267"/>
    <w:rsid w:val="00445575"/>
    <w:rsid w:val="00445998"/>
    <w:rsid w:val="00445C2A"/>
    <w:rsid w:val="00446891"/>
    <w:rsid w:val="004468C3"/>
    <w:rsid w:val="00446D2B"/>
    <w:rsid w:val="0044739E"/>
    <w:rsid w:val="00447E55"/>
    <w:rsid w:val="004501CD"/>
    <w:rsid w:val="004508BA"/>
    <w:rsid w:val="00450B7E"/>
    <w:rsid w:val="004510E9"/>
    <w:rsid w:val="004512B2"/>
    <w:rsid w:val="0045186C"/>
    <w:rsid w:val="00451CD2"/>
    <w:rsid w:val="00451D1F"/>
    <w:rsid w:val="00451EAC"/>
    <w:rsid w:val="00452300"/>
    <w:rsid w:val="00452725"/>
    <w:rsid w:val="00453126"/>
    <w:rsid w:val="0045332E"/>
    <w:rsid w:val="00453346"/>
    <w:rsid w:val="00453547"/>
    <w:rsid w:val="00453A2F"/>
    <w:rsid w:val="00453D21"/>
    <w:rsid w:val="00453FC8"/>
    <w:rsid w:val="004542DE"/>
    <w:rsid w:val="00454876"/>
    <w:rsid w:val="00454D3A"/>
    <w:rsid w:val="00455DA8"/>
    <w:rsid w:val="00456411"/>
    <w:rsid w:val="0045687D"/>
    <w:rsid w:val="00460691"/>
    <w:rsid w:val="00460B63"/>
    <w:rsid w:val="00460C13"/>
    <w:rsid w:val="00460DD2"/>
    <w:rsid w:val="00460E00"/>
    <w:rsid w:val="004619D2"/>
    <w:rsid w:val="004620F5"/>
    <w:rsid w:val="0046297A"/>
    <w:rsid w:val="00462AA5"/>
    <w:rsid w:val="00462D58"/>
    <w:rsid w:val="00462E74"/>
    <w:rsid w:val="00462F4D"/>
    <w:rsid w:val="004632CE"/>
    <w:rsid w:val="004633E8"/>
    <w:rsid w:val="00463477"/>
    <w:rsid w:val="0046362D"/>
    <w:rsid w:val="00463E2B"/>
    <w:rsid w:val="004647AB"/>
    <w:rsid w:val="00464AD0"/>
    <w:rsid w:val="00465053"/>
    <w:rsid w:val="004650DE"/>
    <w:rsid w:val="004650E4"/>
    <w:rsid w:val="00465157"/>
    <w:rsid w:val="004654C6"/>
    <w:rsid w:val="0046591A"/>
    <w:rsid w:val="00465FEF"/>
    <w:rsid w:val="00466637"/>
    <w:rsid w:val="004666AD"/>
    <w:rsid w:val="00466A1E"/>
    <w:rsid w:val="00466EA6"/>
    <w:rsid w:val="004675F7"/>
    <w:rsid w:val="00467E69"/>
    <w:rsid w:val="00470024"/>
    <w:rsid w:val="00470365"/>
    <w:rsid w:val="004706CE"/>
    <w:rsid w:val="00472323"/>
    <w:rsid w:val="004727AF"/>
    <w:rsid w:val="004727CF"/>
    <w:rsid w:val="0047291D"/>
    <w:rsid w:val="00473417"/>
    <w:rsid w:val="00473D85"/>
    <w:rsid w:val="00473EFC"/>
    <w:rsid w:val="004747D3"/>
    <w:rsid w:val="00474DA7"/>
    <w:rsid w:val="004751B5"/>
    <w:rsid w:val="00475207"/>
    <w:rsid w:val="00475A3F"/>
    <w:rsid w:val="00475D6D"/>
    <w:rsid w:val="00475E2D"/>
    <w:rsid w:val="00476178"/>
    <w:rsid w:val="004762D2"/>
    <w:rsid w:val="00476577"/>
    <w:rsid w:val="00476929"/>
    <w:rsid w:val="00477486"/>
    <w:rsid w:val="004774C2"/>
    <w:rsid w:val="00477B0B"/>
    <w:rsid w:val="0048073C"/>
    <w:rsid w:val="004811FD"/>
    <w:rsid w:val="00481AAA"/>
    <w:rsid w:val="00482002"/>
    <w:rsid w:val="00482643"/>
    <w:rsid w:val="00482DF3"/>
    <w:rsid w:val="00483E69"/>
    <w:rsid w:val="00483F1C"/>
    <w:rsid w:val="00483F90"/>
    <w:rsid w:val="004843C1"/>
    <w:rsid w:val="004843C6"/>
    <w:rsid w:val="00484626"/>
    <w:rsid w:val="004851AD"/>
    <w:rsid w:val="00485CAC"/>
    <w:rsid w:val="00485F22"/>
    <w:rsid w:val="004865BE"/>
    <w:rsid w:val="004866B0"/>
    <w:rsid w:val="004871F8"/>
    <w:rsid w:val="004875F8"/>
    <w:rsid w:val="004879D2"/>
    <w:rsid w:val="00487A10"/>
    <w:rsid w:val="00487CEF"/>
    <w:rsid w:val="004904E9"/>
    <w:rsid w:val="0049054E"/>
    <w:rsid w:val="0049065C"/>
    <w:rsid w:val="0049099A"/>
    <w:rsid w:val="00490CBA"/>
    <w:rsid w:val="00490E54"/>
    <w:rsid w:val="00490EF1"/>
    <w:rsid w:val="00491145"/>
    <w:rsid w:val="004917F2"/>
    <w:rsid w:val="00491B91"/>
    <w:rsid w:val="00491F3B"/>
    <w:rsid w:val="00491F42"/>
    <w:rsid w:val="00492595"/>
    <w:rsid w:val="004927A1"/>
    <w:rsid w:val="00493AAF"/>
    <w:rsid w:val="004940CA"/>
    <w:rsid w:val="004940D7"/>
    <w:rsid w:val="00494201"/>
    <w:rsid w:val="00494EE3"/>
    <w:rsid w:val="004954ED"/>
    <w:rsid w:val="00495915"/>
    <w:rsid w:val="004959C5"/>
    <w:rsid w:val="00495B34"/>
    <w:rsid w:val="0049602A"/>
    <w:rsid w:val="00496566"/>
    <w:rsid w:val="004970BC"/>
    <w:rsid w:val="0049768F"/>
    <w:rsid w:val="004A04B7"/>
    <w:rsid w:val="004A0791"/>
    <w:rsid w:val="004A0843"/>
    <w:rsid w:val="004A0848"/>
    <w:rsid w:val="004A096A"/>
    <w:rsid w:val="004A0C70"/>
    <w:rsid w:val="004A0E46"/>
    <w:rsid w:val="004A1082"/>
    <w:rsid w:val="004A1552"/>
    <w:rsid w:val="004A183D"/>
    <w:rsid w:val="004A2214"/>
    <w:rsid w:val="004A2F7C"/>
    <w:rsid w:val="004A34B4"/>
    <w:rsid w:val="004A4307"/>
    <w:rsid w:val="004A5A72"/>
    <w:rsid w:val="004A64F4"/>
    <w:rsid w:val="004A65D5"/>
    <w:rsid w:val="004A6628"/>
    <w:rsid w:val="004A6B7D"/>
    <w:rsid w:val="004A7156"/>
    <w:rsid w:val="004A723E"/>
    <w:rsid w:val="004A7E16"/>
    <w:rsid w:val="004B0288"/>
    <w:rsid w:val="004B0958"/>
    <w:rsid w:val="004B0B9A"/>
    <w:rsid w:val="004B0D43"/>
    <w:rsid w:val="004B0D72"/>
    <w:rsid w:val="004B0FD8"/>
    <w:rsid w:val="004B113C"/>
    <w:rsid w:val="004B151E"/>
    <w:rsid w:val="004B21B9"/>
    <w:rsid w:val="004B23CC"/>
    <w:rsid w:val="004B23DF"/>
    <w:rsid w:val="004B2DE3"/>
    <w:rsid w:val="004B2E42"/>
    <w:rsid w:val="004B303B"/>
    <w:rsid w:val="004B316D"/>
    <w:rsid w:val="004B4583"/>
    <w:rsid w:val="004B47FC"/>
    <w:rsid w:val="004B561B"/>
    <w:rsid w:val="004B5E77"/>
    <w:rsid w:val="004B6BFE"/>
    <w:rsid w:val="004B6D9F"/>
    <w:rsid w:val="004B6EAB"/>
    <w:rsid w:val="004B6F7B"/>
    <w:rsid w:val="004B7023"/>
    <w:rsid w:val="004B709F"/>
    <w:rsid w:val="004B7BF0"/>
    <w:rsid w:val="004B7C60"/>
    <w:rsid w:val="004C08A8"/>
    <w:rsid w:val="004C1953"/>
    <w:rsid w:val="004C2AC8"/>
    <w:rsid w:val="004C2B4D"/>
    <w:rsid w:val="004C3320"/>
    <w:rsid w:val="004C3547"/>
    <w:rsid w:val="004C3922"/>
    <w:rsid w:val="004C43AF"/>
    <w:rsid w:val="004C485A"/>
    <w:rsid w:val="004C48F8"/>
    <w:rsid w:val="004C4BB9"/>
    <w:rsid w:val="004C5460"/>
    <w:rsid w:val="004C5A5E"/>
    <w:rsid w:val="004C5AA0"/>
    <w:rsid w:val="004C630C"/>
    <w:rsid w:val="004C65A1"/>
    <w:rsid w:val="004C68F3"/>
    <w:rsid w:val="004C6B62"/>
    <w:rsid w:val="004C71B2"/>
    <w:rsid w:val="004D0A0C"/>
    <w:rsid w:val="004D126C"/>
    <w:rsid w:val="004D1968"/>
    <w:rsid w:val="004D1B03"/>
    <w:rsid w:val="004D268C"/>
    <w:rsid w:val="004D2730"/>
    <w:rsid w:val="004D3172"/>
    <w:rsid w:val="004D4007"/>
    <w:rsid w:val="004D4636"/>
    <w:rsid w:val="004D4728"/>
    <w:rsid w:val="004D52EE"/>
    <w:rsid w:val="004D5327"/>
    <w:rsid w:val="004D576E"/>
    <w:rsid w:val="004D6C7F"/>
    <w:rsid w:val="004E0255"/>
    <w:rsid w:val="004E0EBC"/>
    <w:rsid w:val="004E16F3"/>
    <w:rsid w:val="004E187E"/>
    <w:rsid w:val="004E18E2"/>
    <w:rsid w:val="004E1E48"/>
    <w:rsid w:val="004E21D1"/>
    <w:rsid w:val="004E2499"/>
    <w:rsid w:val="004E29F0"/>
    <w:rsid w:val="004E378A"/>
    <w:rsid w:val="004E3A1E"/>
    <w:rsid w:val="004E4983"/>
    <w:rsid w:val="004E51FE"/>
    <w:rsid w:val="004E565A"/>
    <w:rsid w:val="004E5DC2"/>
    <w:rsid w:val="004E5ED4"/>
    <w:rsid w:val="004E6020"/>
    <w:rsid w:val="004E6525"/>
    <w:rsid w:val="004E6661"/>
    <w:rsid w:val="004E778F"/>
    <w:rsid w:val="004E7B38"/>
    <w:rsid w:val="004E7FF2"/>
    <w:rsid w:val="004F057A"/>
    <w:rsid w:val="004F0988"/>
    <w:rsid w:val="004F0BFA"/>
    <w:rsid w:val="004F0CD4"/>
    <w:rsid w:val="004F0EEB"/>
    <w:rsid w:val="004F13D2"/>
    <w:rsid w:val="004F1C44"/>
    <w:rsid w:val="004F1F52"/>
    <w:rsid w:val="004F32B0"/>
    <w:rsid w:val="004F334F"/>
    <w:rsid w:val="004F39BD"/>
    <w:rsid w:val="004F3DED"/>
    <w:rsid w:val="004F493E"/>
    <w:rsid w:val="004F56CE"/>
    <w:rsid w:val="004F6B67"/>
    <w:rsid w:val="004F7E6C"/>
    <w:rsid w:val="0050065B"/>
    <w:rsid w:val="00500C44"/>
    <w:rsid w:val="00500E0C"/>
    <w:rsid w:val="005010AE"/>
    <w:rsid w:val="005013D3"/>
    <w:rsid w:val="00501978"/>
    <w:rsid w:val="00502F72"/>
    <w:rsid w:val="00503194"/>
    <w:rsid w:val="005031FB"/>
    <w:rsid w:val="005040F6"/>
    <w:rsid w:val="005044A4"/>
    <w:rsid w:val="005054A5"/>
    <w:rsid w:val="00505E2D"/>
    <w:rsid w:val="00506628"/>
    <w:rsid w:val="00506E64"/>
    <w:rsid w:val="00506FC2"/>
    <w:rsid w:val="00507F5B"/>
    <w:rsid w:val="00510165"/>
    <w:rsid w:val="00510374"/>
    <w:rsid w:val="00510474"/>
    <w:rsid w:val="0051062B"/>
    <w:rsid w:val="00510A8D"/>
    <w:rsid w:val="00511950"/>
    <w:rsid w:val="00511968"/>
    <w:rsid w:val="00511BB9"/>
    <w:rsid w:val="00511EE0"/>
    <w:rsid w:val="00513368"/>
    <w:rsid w:val="00513C49"/>
    <w:rsid w:val="00513C76"/>
    <w:rsid w:val="00514320"/>
    <w:rsid w:val="00515106"/>
    <w:rsid w:val="00515C9B"/>
    <w:rsid w:val="00515E6F"/>
    <w:rsid w:val="00516039"/>
    <w:rsid w:val="00516B0F"/>
    <w:rsid w:val="00517781"/>
    <w:rsid w:val="005201E3"/>
    <w:rsid w:val="00520A1F"/>
    <w:rsid w:val="00520BD1"/>
    <w:rsid w:val="00521212"/>
    <w:rsid w:val="00521C29"/>
    <w:rsid w:val="00521D82"/>
    <w:rsid w:val="00522CF0"/>
    <w:rsid w:val="005233D4"/>
    <w:rsid w:val="005237D5"/>
    <w:rsid w:val="005244F4"/>
    <w:rsid w:val="00524CB3"/>
    <w:rsid w:val="00524F6A"/>
    <w:rsid w:val="005255BA"/>
    <w:rsid w:val="00525BD2"/>
    <w:rsid w:val="00526553"/>
    <w:rsid w:val="00526617"/>
    <w:rsid w:val="00526D25"/>
    <w:rsid w:val="00526F20"/>
    <w:rsid w:val="00527416"/>
    <w:rsid w:val="00527782"/>
    <w:rsid w:val="005277CA"/>
    <w:rsid w:val="005279C3"/>
    <w:rsid w:val="00527FE5"/>
    <w:rsid w:val="00530264"/>
    <w:rsid w:val="00531588"/>
    <w:rsid w:val="005320AA"/>
    <w:rsid w:val="005329AC"/>
    <w:rsid w:val="00532B8C"/>
    <w:rsid w:val="0053311D"/>
    <w:rsid w:val="005332DE"/>
    <w:rsid w:val="00534081"/>
    <w:rsid w:val="005342E1"/>
    <w:rsid w:val="005358A5"/>
    <w:rsid w:val="00535A91"/>
    <w:rsid w:val="00535E11"/>
    <w:rsid w:val="0053600E"/>
    <w:rsid w:val="005363CD"/>
    <w:rsid w:val="00536C74"/>
    <w:rsid w:val="00536D84"/>
    <w:rsid w:val="005378A8"/>
    <w:rsid w:val="005379BB"/>
    <w:rsid w:val="00537DE2"/>
    <w:rsid w:val="00537E7E"/>
    <w:rsid w:val="00537EE2"/>
    <w:rsid w:val="00540121"/>
    <w:rsid w:val="00540177"/>
    <w:rsid w:val="00540DF6"/>
    <w:rsid w:val="00540F71"/>
    <w:rsid w:val="00541205"/>
    <w:rsid w:val="00541289"/>
    <w:rsid w:val="00541367"/>
    <w:rsid w:val="0054143B"/>
    <w:rsid w:val="005414A6"/>
    <w:rsid w:val="0054175F"/>
    <w:rsid w:val="00541C5B"/>
    <w:rsid w:val="00542291"/>
    <w:rsid w:val="00542D25"/>
    <w:rsid w:val="00542E02"/>
    <w:rsid w:val="00542F23"/>
    <w:rsid w:val="005440F4"/>
    <w:rsid w:val="00544263"/>
    <w:rsid w:val="0054436B"/>
    <w:rsid w:val="00544657"/>
    <w:rsid w:val="00544835"/>
    <w:rsid w:val="0054544E"/>
    <w:rsid w:val="005456C1"/>
    <w:rsid w:val="00545C20"/>
    <w:rsid w:val="00545C7C"/>
    <w:rsid w:val="00546025"/>
    <w:rsid w:val="005460C2"/>
    <w:rsid w:val="005464C7"/>
    <w:rsid w:val="00546598"/>
    <w:rsid w:val="00546719"/>
    <w:rsid w:val="00546A46"/>
    <w:rsid w:val="00546AC2"/>
    <w:rsid w:val="005472E2"/>
    <w:rsid w:val="00550D6C"/>
    <w:rsid w:val="00550D9D"/>
    <w:rsid w:val="00551325"/>
    <w:rsid w:val="005514D5"/>
    <w:rsid w:val="00551B2E"/>
    <w:rsid w:val="00552487"/>
    <w:rsid w:val="0055274A"/>
    <w:rsid w:val="005527F8"/>
    <w:rsid w:val="005532D5"/>
    <w:rsid w:val="005546F9"/>
    <w:rsid w:val="00554C46"/>
    <w:rsid w:val="005552B3"/>
    <w:rsid w:val="00556CD8"/>
    <w:rsid w:val="0055748C"/>
    <w:rsid w:val="00557648"/>
    <w:rsid w:val="0055768A"/>
    <w:rsid w:val="00557C07"/>
    <w:rsid w:val="00557CAA"/>
    <w:rsid w:val="00560607"/>
    <w:rsid w:val="00560650"/>
    <w:rsid w:val="00560C71"/>
    <w:rsid w:val="00560E12"/>
    <w:rsid w:val="00561919"/>
    <w:rsid w:val="005619E2"/>
    <w:rsid w:val="00562292"/>
    <w:rsid w:val="005624BD"/>
    <w:rsid w:val="00562EF2"/>
    <w:rsid w:val="00562F18"/>
    <w:rsid w:val="00563151"/>
    <w:rsid w:val="005640F1"/>
    <w:rsid w:val="00564BE0"/>
    <w:rsid w:val="00564E59"/>
    <w:rsid w:val="00564EFB"/>
    <w:rsid w:val="00565D48"/>
    <w:rsid w:val="00566402"/>
    <w:rsid w:val="0056664A"/>
    <w:rsid w:val="005670F8"/>
    <w:rsid w:val="00567977"/>
    <w:rsid w:val="00567D95"/>
    <w:rsid w:val="0057015F"/>
    <w:rsid w:val="0057065D"/>
    <w:rsid w:val="00571179"/>
    <w:rsid w:val="005712D6"/>
    <w:rsid w:val="005712F6"/>
    <w:rsid w:val="00571597"/>
    <w:rsid w:val="005715A7"/>
    <w:rsid w:val="005719DF"/>
    <w:rsid w:val="00572438"/>
    <w:rsid w:val="005724B0"/>
    <w:rsid w:val="00572FA7"/>
    <w:rsid w:val="00572FCA"/>
    <w:rsid w:val="005732FC"/>
    <w:rsid w:val="00573456"/>
    <w:rsid w:val="00573928"/>
    <w:rsid w:val="00573D04"/>
    <w:rsid w:val="00573FB2"/>
    <w:rsid w:val="005748F2"/>
    <w:rsid w:val="00574E50"/>
    <w:rsid w:val="00574E78"/>
    <w:rsid w:val="00575411"/>
    <w:rsid w:val="005754A9"/>
    <w:rsid w:val="00575E94"/>
    <w:rsid w:val="00576586"/>
    <w:rsid w:val="00576781"/>
    <w:rsid w:val="00577194"/>
    <w:rsid w:val="0057724A"/>
    <w:rsid w:val="00580944"/>
    <w:rsid w:val="00580ACC"/>
    <w:rsid w:val="00580B10"/>
    <w:rsid w:val="0058146B"/>
    <w:rsid w:val="00582C8F"/>
    <w:rsid w:val="005851B3"/>
    <w:rsid w:val="00585570"/>
    <w:rsid w:val="00585ED6"/>
    <w:rsid w:val="00585EEE"/>
    <w:rsid w:val="0058610F"/>
    <w:rsid w:val="005863B0"/>
    <w:rsid w:val="00586EE4"/>
    <w:rsid w:val="00587417"/>
    <w:rsid w:val="005878DA"/>
    <w:rsid w:val="00587958"/>
    <w:rsid w:val="00587DA0"/>
    <w:rsid w:val="005900B9"/>
    <w:rsid w:val="0059059C"/>
    <w:rsid w:val="00590610"/>
    <w:rsid w:val="00590782"/>
    <w:rsid w:val="00590B16"/>
    <w:rsid w:val="00590B71"/>
    <w:rsid w:val="00590F7D"/>
    <w:rsid w:val="005916C8"/>
    <w:rsid w:val="00591DCF"/>
    <w:rsid w:val="00592AA6"/>
    <w:rsid w:val="00593015"/>
    <w:rsid w:val="00593477"/>
    <w:rsid w:val="0059358D"/>
    <w:rsid w:val="0059382D"/>
    <w:rsid w:val="00593AE9"/>
    <w:rsid w:val="00594405"/>
    <w:rsid w:val="0059452F"/>
    <w:rsid w:val="005947BD"/>
    <w:rsid w:val="0059531A"/>
    <w:rsid w:val="005954E3"/>
    <w:rsid w:val="00595885"/>
    <w:rsid w:val="005958FF"/>
    <w:rsid w:val="00595B38"/>
    <w:rsid w:val="005962AE"/>
    <w:rsid w:val="005964EF"/>
    <w:rsid w:val="00596546"/>
    <w:rsid w:val="00596DEF"/>
    <w:rsid w:val="00597546"/>
    <w:rsid w:val="005976C6"/>
    <w:rsid w:val="0059786A"/>
    <w:rsid w:val="00597962"/>
    <w:rsid w:val="005A0D2A"/>
    <w:rsid w:val="005A132E"/>
    <w:rsid w:val="005A1600"/>
    <w:rsid w:val="005A16B5"/>
    <w:rsid w:val="005A19B3"/>
    <w:rsid w:val="005A23FC"/>
    <w:rsid w:val="005A241D"/>
    <w:rsid w:val="005A25B8"/>
    <w:rsid w:val="005A2686"/>
    <w:rsid w:val="005A289A"/>
    <w:rsid w:val="005A2EF9"/>
    <w:rsid w:val="005A45A4"/>
    <w:rsid w:val="005A5D3B"/>
    <w:rsid w:val="005A5DE5"/>
    <w:rsid w:val="005A6931"/>
    <w:rsid w:val="005A6B97"/>
    <w:rsid w:val="005A71BA"/>
    <w:rsid w:val="005A72B3"/>
    <w:rsid w:val="005A7384"/>
    <w:rsid w:val="005A7810"/>
    <w:rsid w:val="005A7C2E"/>
    <w:rsid w:val="005A7EC3"/>
    <w:rsid w:val="005A7EC8"/>
    <w:rsid w:val="005A7FF3"/>
    <w:rsid w:val="005B10D3"/>
    <w:rsid w:val="005B1277"/>
    <w:rsid w:val="005B12B8"/>
    <w:rsid w:val="005B1331"/>
    <w:rsid w:val="005B27A2"/>
    <w:rsid w:val="005B288C"/>
    <w:rsid w:val="005B28BD"/>
    <w:rsid w:val="005B2B7B"/>
    <w:rsid w:val="005B3228"/>
    <w:rsid w:val="005B329E"/>
    <w:rsid w:val="005B40B3"/>
    <w:rsid w:val="005B441C"/>
    <w:rsid w:val="005B4F37"/>
    <w:rsid w:val="005B5214"/>
    <w:rsid w:val="005B5554"/>
    <w:rsid w:val="005B6108"/>
    <w:rsid w:val="005B6374"/>
    <w:rsid w:val="005B69AC"/>
    <w:rsid w:val="005B6A8A"/>
    <w:rsid w:val="005B7319"/>
    <w:rsid w:val="005C0291"/>
    <w:rsid w:val="005C08E6"/>
    <w:rsid w:val="005C0E7B"/>
    <w:rsid w:val="005C135B"/>
    <w:rsid w:val="005C1F0E"/>
    <w:rsid w:val="005C2DD1"/>
    <w:rsid w:val="005C376C"/>
    <w:rsid w:val="005C3A60"/>
    <w:rsid w:val="005C3E31"/>
    <w:rsid w:val="005C4139"/>
    <w:rsid w:val="005C434D"/>
    <w:rsid w:val="005C4F27"/>
    <w:rsid w:val="005C5647"/>
    <w:rsid w:val="005C631D"/>
    <w:rsid w:val="005C6402"/>
    <w:rsid w:val="005C6418"/>
    <w:rsid w:val="005C654D"/>
    <w:rsid w:val="005C65B3"/>
    <w:rsid w:val="005C690F"/>
    <w:rsid w:val="005C6CEA"/>
    <w:rsid w:val="005C78D5"/>
    <w:rsid w:val="005C7911"/>
    <w:rsid w:val="005C7E37"/>
    <w:rsid w:val="005D01D7"/>
    <w:rsid w:val="005D0798"/>
    <w:rsid w:val="005D10AD"/>
    <w:rsid w:val="005D1501"/>
    <w:rsid w:val="005D17E7"/>
    <w:rsid w:val="005D186D"/>
    <w:rsid w:val="005D1B3A"/>
    <w:rsid w:val="005D2C2E"/>
    <w:rsid w:val="005D3109"/>
    <w:rsid w:val="005D365E"/>
    <w:rsid w:val="005D3740"/>
    <w:rsid w:val="005D4E47"/>
    <w:rsid w:val="005D52C7"/>
    <w:rsid w:val="005D5D66"/>
    <w:rsid w:val="005D6468"/>
    <w:rsid w:val="005D6E22"/>
    <w:rsid w:val="005D7082"/>
    <w:rsid w:val="005D7339"/>
    <w:rsid w:val="005E0406"/>
    <w:rsid w:val="005E04AE"/>
    <w:rsid w:val="005E0962"/>
    <w:rsid w:val="005E0C91"/>
    <w:rsid w:val="005E0DAB"/>
    <w:rsid w:val="005E104D"/>
    <w:rsid w:val="005E1DBF"/>
    <w:rsid w:val="005E20A3"/>
    <w:rsid w:val="005E2113"/>
    <w:rsid w:val="005E2363"/>
    <w:rsid w:val="005E27E8"/>
    <w:rsid w:val="005E2ECB"/>
    <w:rsid w:val="005E305E"/>
    <w:rsid w:val="005E3435"/>
    <w:rsid w:val="005E3599"/>
    <w:rsid w:val="005E3EEC"/>
    <w:rsid w:val="005E446B"/>
    <w:rsid w:val="005E4F06"/>
    <w:rsid w:val="005E5B30"/>
    <w:rsid w:val="005E6366"/>
    <w:rsid w:val="005E696F"/>
    <w:rsid w:val="005E6ACC"/>
    <w:rsid w:val="005E726E"/>
    <w:rsid w:val="005E7A99"/>
    <w:rsid w:val="005F001D"/>
    <w:rsid w:val="005F0CAB"/>
    <w:rsid w:val="005F0EA5"/>
    <w:rsid w:val="005F3787"/>
    <w:rsid w:val="005F3837"/>
    <w:rsid w:val="005F3899"/>
    <w:rsid w:val="005F3E58"/>
    <w:rsid w:val="005F4040"/>
    <w:rsid w:val="005F4FE9"/>
    <w:rsid w:val="005F53A8"/>
    <w:rsid w:val="005F62E4"/>
    <w:rsid w:val="005F69C4"/>
    <w:rsid w:val="005F6D4E"/>
    <w:rsid w:val="005F771C"/>
    <w:rsid w:val="005F794B"/>
    <w:rsid w:val="005F7AB6"/>
    <w:rsid w:val="005F7C8C"/>
    <w:rsid w:val="00600313"/>
    <w:rsid w:val="00600518"/>
    <w:rsid w:val="00600960"/>
    <w:rsid w:val="00600C2A"/>
    <w:rsid w:val="00601A1C"/>
    <w:rsid w:val="00601CAD"/>
    <w:rsid w:val="00601CC7"/>
    <w:rsid w:val="00602634"/>
    <w:rsid w:val="00602C4B"/>
    <w:rsid w:val="00602FCD"/>
    <w:rsid w:val="006037A4"/>
    <w:rsid w:val="00604B67"/>
    <w:rsid w:val="00604FA2"/>
    <w:rsid w:val="0060585F"/>
    <w:rsid w:val="00605908"/>
    <w:rsid w:val="006066E1"/>
    <w:rsid w:val="006067C0"/>
    <w:rsid w:val="0060696A"/>
    <w:rsid w:val="00606F43"/>
    <w:rsid w:val="00607534"/>
    <w:rsid w:val="0060779D"/>
    <w:rsid w:val="006078B4"/>
    <w:rsid w:val="00607A94"/>
    <w:rsid w:val="006100A5"/>
    <w:rsid w:val="006110CF"/>
    <w:rsid w:val="006113F6"/>
    <w:rsid w:val="00611A03"/>
    <w:rsid w:val="00611A05"/>
    <w:rsid w:val="0061276E"/>
    <w:rsid w:val="00612C93"/>
    <w:rsid w:val="0061380A"/>
    <w:rsid w:val="00613D98"/>
    <w:rsid w:val="00613EBE"/>
    <w:rsid w:val="00614338"/>
    <w:rsid w:val="00614748"/>
    <w:rsid w:val="00614792"/>
    <w:rsid w:val="00614B55"/>
    <w:rsid w:val="0061537D"/>
    <w:rsid w:val="00615D41"/>
    <w:rsid w:val="00616283"/>
    <w:rsid w:val="00616794"/>
    <w:rsid w:val="0062047D"/>
    <w:rsid w:val="0062087F"/>
    <w:rsid w:val="00620F4C"/>
    <w:rsid w:val="00621129"/>
    <w:rsid w:val="0062130E"/>
    <w:rsid w:val="00621F53"/>
    <w:rsid w:val="00622A15"/>
    <w:rsid w:val="00622B29"/>
    <w:rsid w:val="00623263"/>
    <w:rsid w:val="0062378E"/>
    <w:rsid w:val="006240EC"/>
    <w:rsid w:val="00624820"/>
    <w:rsid w:val="00624D5A"/>
    <w:rsid w:val="00624FA9"/>
    <w:rsid w:val="00625263"/>
    <w:rsid w:val="006253BB"/>
    <w:rsid w:val="006258E6"/>
    <w:rsid w:val="00625FC9"/>
    <w:rsid w:val="006262CB"/>
    <w:rsid w:val="006270A7"/>
    <w:rsid w:val="00627678"/>
    <w:rsid w:val="00627A11"/>
    <w:rsid w:val="00627BC4"/>
    <w:rsid w:val="006305C7"/>
    <w:rsid w:val="00630AF8"/>
    <w:rsid w:val="006314FD"/>
    <w:rsid w:val="00631792"/>
    <w:rsid w:val="00631F4D"/>
    <w:rsid w:val="006333B4"/>
    <w:rsid w:val="006333F9"/>
    <w:rsid w:val="006335E8"/>
    <w:rsid w:val="0063432F"/>
    <w:rsid w:val="006344A8"/>
    <w:rsid w:val="00634654"/>
    <w:rsid w:val="006346E6"/>
    <w:rsid w:val="00634BF8"/>
    <w:rsid w:val="006353F6"/>
    <w:rsid w:val="006357B4"/>
    <w:rsid w:val="0063584B"/>
    <w:rsid w:val="006358F0"/>
    <w:rsid w:val="00635EDD"/>
    <w:rsid w:val="0063659A"/>
    <w:rsid w:val="006400C3"/>
    <w:rsid w:val="00640547"/>
    <w:rsid w:val="0064090B"/>
    <w:rsid w:val="006415FD"/>
    <w:rsid w:val="0064189D"/>
    <w:rsid w:val="00641FD0"/>
    <w:rsid w:val="00642955"/>
    <w:rsid w:val="00642F5F"/>
    <w:rsid w:val="00643B60"/>
    <w:rsid w:val="00643BE9"/>
    <w:rsid w:val="006442D5"/>
    <w:rsid w:val="00644430"/>
    <w:rsid w:val="00644499"/>
    <w:rsid w:val="006449F0"/>
    <w:rsid w:val="006453DB"/>
    <w:rsid w:val="00645810"/>
    <w:rsid w:val="00645F9A"/>
    <w:rsid w:val="00646B96"/>
    <w:rsid w:val="00646D74"/>
    <w:rsid w:val="006473D8"/>
    <w:rsid w:val="00647C4D"/>
    <w:rsid w:val="0065002F"/>
    <w:rsid w:val="006500EF"/>
    <w:rsid w:val="00650526"/>
    <w:rsid w:val="00651796"/>
    <w:rsid w:val="00652F72"/>
    <w:rsid w:val="0065329C"/>
    <w:rsid w:val="006533BF"/>
    <w:rsid w:val="006534A4"/>
    <w:rsid w:val="00653BD1"/>
    <w:rsid w:val="00653EC2"/>
    <w:rsid w:val="0065426E"/>
    <w:rsid w:val="00654C96"/>
    <w:rsid w:val="00655F3E"/>
    <w:rsid w:val="00656113"/>
    <w:rsid w:val="00656755"/>
    <w:rsid w:val="00656FB2"/>
    <w:rsid w:val="0065763F"/>
    <w:rsid w:val="00657A45"/>
    <w:rsid w:val="00657B6A"/>
    <w:rsid w:val="00657B8F"/>
    <w:rsid w:val="00657E17"/>
    <w:rsid w:val="00657E86"/>
    <w:rsid w:val="0066042A"/>
    <w:rsid w:val="00660528"/>
    <w:rsid w:val="006609E7"/>
    <w:rsid w:val="00660A89"/>
    <w:rsid w:val="00661085"/>
    <w:rsid w:val="006612A4"/>
    <w:rsid w:val="00661367"/>
    <w:rsid w:val="00661463"/>
    <w:rsid w:val="00662306"/>
    <w:rsid w:val="00662F7A"/>
    <w:rsid w:val="00663E57"/>
    <w:rsid w:val="0066430C"/>
    <w:rsid w:val="00664EB8"/>
    <w:rsid w:val="0066596F"/>
    <w:rsid w:val="00665EDB"/>
    <w:rsid w:val="00666417"/>
    <w:rsid w:val="0066688A"/>
    <w:rsid w:val="00666B4E"/>
    <w:rsid w:val="00666D4E"/>
    <w:rsid w:val="00667D0E"/>
    <w:rsid w:val="00667F81"/>
    <w:rsid w:val="00670BE9"/>
    <w:rsid w:val="00671449"/>
    <w:rsid w:val="00672F91"/>
    <w:rsid w:val="00673083"/>
    <w:rsid w:val="00673217"/>
    <w:rsid w:val="0067329E"/>
    <w:rsid w:val="006733D3"/>
    <w:rsid w:val="006736DF"/>
    <w:rsid w:val="006737A6"/>
    <w:rsid w:val="006737DA"/>
    <w:rsid w:val="00673CF2"/>
    <w:rsid w:val="00673F9F"/>
    <w:rsid w:val="00674192"/>
    <w:rsid w:val="00674CE5"/>
    <w:rsid w:val="00674DB7"/>
    <w:rsid w:val="0067578C"/>
    <w:rsid w:val="00675B96"/>
    <w:rsid w:val="00675FA4"/>
    <w:rsid w:val="006768B9"/>
    <w:rsid w:val="00676A18"/>
    <w:rsid w:val="00676D62"/>
    <w:rsid w:val="00677012"/>
    <w:rsid w:val="006770DA"/>
    <w:rsid w:val="006773EB"/>
    <w:rsid w:val="00677683"/>
    <w:rsid w:val="00677701"/>
    <w:rsid w:val="00677A20"/>
    <w:rsid w:val="00680449"/>
    <w:rsid w:val="0068063D"/>
    <w:rsid w:val="00680B85"/>
    <w:rsid w:val="00680DD5"/>
    <w:rsid w:val="00680FB0"/>
    <w:rsid w:val="00681556"/>
    <w:rsid w:val="0068157B"/>
    <w:rsid w:val="006824D9"/>
    <w:rsid w:val="00682721"/>
    <w:rsid w:val="00682E4A"/>
    <w:rsid w:val="00682EB2"/>
    <w:rsid w:val="00682F7D"/>
    <w:rsid w:val="00683105"/>
    <w:rsid w:val="00683701"/>
    <w:rsid w:val="00683AAF"/>
    <w:rsid w:val="00683E58"/>
    <w:rsid w:val="00683F5C"/>
    <w:rsid w:val="006845AC"/>
    <w:rsid w:val="0068494A"/>
    <w:rsid w:val="00684B4A"/>
    <w:rsid w:val="00685696"/>
    <w:rsid w:val="00685725"/>
    <w:rsid w:val="0068578C"/>
    <w:rsid w:val="0068598E"/>
    <w:rsid w:val="00685AE7"/>
    <w:rsid w:val="00686342"/>
    <w:rsid w:val="006863F5"/>
    <w:rsid w:val="006871AD"/>
    <w:rsid w:val="00687245"/>
    <w:rsid w:val="006879A8"/>
    <w:rsid w:val="00687C10"/>
    <w:rsid w:val="0069044A"/>
    <w:rsid w:val="0069044E"/>
    <w:rsid w:val="0069093C"/>
    <w:rsid w:val="0069161D"/>
    <w:rsid w:val="00691BB7"/>
    <w:rsid w:val="00692601"/>
    <w:rsid w:val="00692731"/>
    <w:rsid w:val="006928F4"/>
    <w:rsid w:val="00692A36"/>
    <w:rsid w:val="00692BF1"/>
    <w:rsid w:val="00693555"/>
    <w:rsid w:val="006935A8"/>
    <w:rsid w:val="00693692"/>
    <w:rsid w:val="006937A0"/>
    <w:rsid w:val="006939F4"/>
    <w:rsid w:val="00693B58"/>
    <w:rsid w:val="00693C7C"/>
    <w:rsid w:val="00693C98"/>
    <w:rsid w:val="00693DA5"/>
    <w:rsid w:val="00693FC0"/>
    <w:rsid w:val="006942CF"/>
    <w:rsid w:val="006946B2"/>
    <w:rsid w:val="00694E55"/>
    <w:rsid w:val="00695910"/>
    <w:rsid w:val="00695E89"/>
    <w:rsid w:val="00697F78"/>
    <w:rsid w:val="006A01D5"/>
    <w:rsid w:val="006A02CB"/>
    <w:rsid w:val="006A0691"/>
    <w:rsid w:val="006A0AC7"/>
    <w:rsid w:val="006A21E2"/>
    <w:rsid w:val="006A2296"/>
    <w:rsid w:val="006A256E"/>
    <w:rsid w:val="006A30DE"/>
    <w:rsid w:val="006A32AC"/>
    <w:rsid w:val="006A3432"/>
    <w:rsid w:val="006A3B49"/>
    <w:rsid w:val="006A3EA0"/>
    <w:rsid w:val="006A4158"/>
    <w:rsid w:val="006A4BEF"/>
    <w:rsid w:val="006A4CC2"/>
    <w:rsid w:val="006A5672"/>
    <w:rsid w:val="006A5E4A"/>
    <w:rsid w:val="006A7232"/>
    <w:rsid w:val="006A739B"/>
    <w:rsid w:val="006A77D4"/>
    <w:rsid w:val="006B063F"/>
    <w:rsid w:val="006B065E"/>
    <w:rsid w:val="006B08B6"/>
    <w:rsid w:val="006B1380"/>
    <w:rsid w:val="006B27D6"/>
    <w:rsid w:val="006B2DF7"/>
    <w:rsid w:val="006B33CD"/>
    <w:rsid w:val="006B3739"/>
    <w:rsid w:val="006B41A3"/>
    <w:rsid w:val="006B41B8"/>
    <w:rsid w:val="006B4220"/>
    <w:rsid w:val="006B50DF"/>
    <w:rsid w:val="006B61A9"/>
    <w:rsid w:val="006B7889"/>
    <w:rsid w:val="006C033C"/>
    <w:rsid w:val="006C0E17"/>
    <w:rsid w:val="006C0E81"/>
    <w:rsid w:val="006C1C0D"/>
    <w:rsid w:val="006C23BA"/>
    <w:rsid w:val="006C2494"/>
    <w:rsid w:val="006C295D"/>
    <w:rsid w:val="006C30DD"/>
    <w:rsid w:val="006C3421"/>
    <w:rsid w:val="006C348A"/>
    <w:rsid w:val="006C3F5F"/>
    <w:rsid w:val="006C433B"/>
    <w:rsid w:val="006C57F8"/>
    <w:rsid w:val="006C62FF"/>
    <w:rsid w:val="006C69F3"/>
    <w:rsid w:val="006C6F03"/>
    <w:rsid w:val="006C70A5"/>
    <w:rsid w:val="006C73DC"/>
    <w:rsid w:val="006D03D8"/>
    <w:rsid w:val="006D095C"/>
    <w:rsid w:val="006D0B63"/>
    <w:rsid w:val="006D15FF"/>
    <w:rsid w:val="006D1B0E"/>
    <w:rsid w:val="006D1E2D"/>
    <w:rsid w:val="006D26AA"/>
    <w:rsid w:val="006D2B81"/>
    <w:rsid w:val="006D2C82"/>
    <w:rsid w:val="006D3374"/>
    <w:rsid w:val="006D3877"/>
    <w:rsid w:val="006D3A98"/>
    <w:rsid w:val="006D567F"/>
    <w:rsid w:val="006D580F"/>
    <w:rsid w:val="006D5AD4"/>
    <w:rsid w:val="006D62BF"/>
    <w:rsid w:val="006D6317"/>
    <w:rsid w:val="006D65B3"/>
    <w:rsid w:val="006D660D"/>
    <w:rsid w:val="006D6772"/>
    <w:rsid w:val="006D69E8"/>
    <w:rsid w:val="006D6DC8"/>
    <w:rsid w:val="006D7190"/>
    <w:rsid w:val="006D72D1"/>
    <w:rsid w:val="006D7CCD"/>
    <w:rsid w:val="006E0E8D"/>
    <w:rsid w:val="006E1ED7"/>
    <w:rsid w:val="006E22D7"/>
    <w:rsid w:val="006E3F07"/>
    <w:rsid w:val="006E41A1"/>
    <w:rsid w:val="006E47A5"/>
    <w:rsid w:val="006E4A97"/>
    <w:rsid w:val="006E56B8"/>
    <w:rsid w:val="006E57F4"/>
    <w:rsid w:val="006E6033"/>
    <w:rsid w:val="006E618F"/>
    <w:rsid w:val="006E6903"/>
    <w:rsid w:val="006E6FDC"/>
    <w:rsid w:val="006E7A66"/>
    <w:rsid w:val="006F0762"/>
    <w:rsid w:val="006F082D"/>
    <w:rsid w:val="006F0DFF"/>
    <w:rsid w:val="006F1186"/>
    <w:rsid w:val="006F1783"/>
    <w:rsid w:val="006F1BC7"/>
    <w:rsid w:val="006F2440"/>
    <w:rsid w:val="006F2B9B"/>
    <w:rsid w:val="006F34B8"/>
    <w:rsid w:val="006F34CC"/>
    <w:rsid w:val="006F3CC9"/>
    <w:rsid w:val="006F400E"/>
    <w:rsid w:val="006F4242"/>
    <w:rsid w:val="006F4493"/>
    <w:rsid w:val="006F4E07"/>
    <w:rsid w:val="006F576A"/>
    <w:rsid w:val="006F5812"/>
    <w:rsid w:val="006F5B6A"/>
    <w:rsid w:val="006F6461"/>
    <w:rsid w:val="006F6599"/>
    <w:rsid w:val="006F6DD2"/>
    <w:rsid w:val="006F7020"/>
    <w:rsid w:val="006F70FB"/>
    <w:rsid w:val="006F7B49"/>
    <w:rsid w:val="006F7BA8"/>
    <w:rsid w:val="006F7CC1"/>
    <w:rsid w:val="00700206"/>
    <w:rsid w:val="00702342"/>
    <w:rsid w:val="0070252C"/>
    <w:rsid w:val="00702CFB"/>
    <w:rsid w:val="00703451"/>
    <w:rsid w:val="007035BA"/>
    <w:rsid w:val="00703923"/>
    <w:rsid w:val="007039B9"/>
    <w:rsid w:val="00703D20"/>
    <w:rsid w:val="00703E74"/>
    <w:rsid w:val="00704B5A"/>
    <w:rsid w:val="00704B7B"/>
    <w:rsid w:val="00704B9D"/>
    <w:rsid w:val="00704BC6"/>
    <w:rsid w:val="0070542F"/>
    <w:rsid w:val="00705925"/>
    <w:rsid w:val="00705A69"/>
    <w:rsid w:val="00705FF0"/>
    <w:rsid w:val="0070616F"/>
    <w:rsid w:val="00706853"/>
    <w:rsid w:val="00706CB1"/>
    <w:rsid w:val="00706CC3"/>
    <w:rsid w:val="00707044"/>
    <w:rsid w:val="007074C5"/>
    <w:rsid w:val="00707D95"/>
    <w:rsid w:val="0071035B"/>
    <w:rsid w:val="00710A66"/>
    <w:rsid w:val="00710BEC"/>
    <w:rsid w:val="00710EDD"/>
    <w:rsid w:val="00711037"/>
    <w:rsid w:val="007110E0"/>
    <w:rsid w:val="00712AFC"/>
    <w:rsid w:val="007137C2"/>
    <w:rsid w:val="00713D11"/>
    <w:rsid w:val="007142E7"/>
    <w:rsid w:val="00715CCA"/>
    <w:rsid w:val="00715E17"/>
    <w:rsid w:val="0071609A"/>
    <w:rsid w:val="00716572"/>
    <w:rsid w:val="00716BD9"/>
    <w:rsid w:val="00716CBC"/>
    <w:rsid w:val="00716F6F"/>
    <w:rsid w:val="007170C7"/>
    <w:rsid w:val="00717885"/>
    <w:rsid w:val="00717C29"/>
    <w:rsid w:val="00721138"/>
    <w:rsid w:val="007212B6"/>
    <w:rsid w:val="007217EA"/>
    <w:rsid w:val="00721BBB"/>
    <w:rsid w:val="00721F18"/>
    <w:rsid w:val="00722175"/>
    <w:rsid w:val="007222DC"/>
    <w:rsid w:val="0072388B"/>
    <w:rsid w:val="007238C0"/>
    <w:rsid w:val="00723A5F"/>
    <w:rsid w:val="0072496C"/>
    <w:rsid w:val="00724A11"/>
    <w:rsid w:val="007257E8"/>
    <w:rsid w:val="00725B96"/>
    <w:rsid w:val="00725DB9"/>
    <w:rsid w:val="0072601E"/>
    <w:rsid w:val="00726091"/>
    <w:rsid w:val="007264F8"/>
    <w:rsid w:val="00727530"/>
    <w:rsid w:val="0073032E"/>
    <w:rsid w:val="007305C9"/>
    <w:rsid w:val="00730B59"/>
    <w:rsid w:val="00730BDF"/>
    <w:rsid w:val="00730D61"/>
    <w:rsid w:val="007313E2"/>
    <w:rsid w:val="00731504"/>
    <w:rsid w:val="0073216D"/>
    <w:rsid w:val="007321F8"/>
    <w:rsid w:val="00732C39"/>
    <w:rsid w:val="00732C90"/>
    <w:rsid w:val="00733138"/>
    <w:rsid w:val="00733490"/>
    <w:rsid w:val="007339B2"/>
    <w:rsid w:val="00733CF3"/>
    <w:rsid w:val="00733DEA"/>
    <w:rsid w:val="00733F47"/>
    <w:rsid w:val="00734236"/>
    <w:rsid w:val="00734A65"/>
    <w:rsid w:val="00734C51"/>
    <w:rsid w:val="00734CD0"/>
    <w:rsid w:val="007357C8"/>
    <w:rsid w:val="0073606E"/>
    <w:rsid w:val="00736656"/>
    <w:rsid w:val="00736681"/>
    <w:rsid w:val="00736A13"/>
    <w:rsid w:val="00736F38"/>
    <w:rsid w:val="00737599"/>
    <w:rsid w:val="007379BF"/>
    <w:rsid w:val="007408EB"/>
    <w:rsid w:val="00740976"/>
    <w:rsid w:val="00740D01"/>
    <w:rsid w:val="00741229"/>
    <w:rsid w:val="007413DE"/>
    <w:rsid w:val="007414DB"/>
    <w:rsid w:val="00742322"/>
    <w:rsid w:val="0074265E"/>
    <w:rsid w:val="0074319B"/>
    <w:rsid w:val="0074342F"/>
    <w:rsid w:val="00743858"/>
    <w:rsid w:val="00743985"/>
    <w:rsid w:val="00743AA1"/>
    <w:rsid w:val="00743B16"/>
    <w:rsid w:val="00743B6A"/>
    <w:rsid w:val="00744BDC"/>
    <w:rsid w:val="00745375"/>
    <w:rsid w:val="007453A7"/>
    <w:rsid w:val="007459B2"/>
    <w:rsid w:val="00745CA9"/>
    <w:rsid w:val="00745FEB"/>
    <w:rsid w:val="007463BC"/>
    <w:rsid w:val="00746ECC"/>
    <w:rsid w:val="00747809"/>
    <w:rsid w:val="00747FF8"/>
    <w:rsid w:val="007503D1"/>
    <w:rsid w:val="00750482"/>
    <w:rsid w:val="00750565"/>
    <w:rsid w:val="00750717"/>
    <w:rsid w:val="00751470"/>
    <w:rsid w:val="00751521"/>
    <w:rsid w:val="00752300"/>
    <w:rsid w:val="00752309"/>
    <w:rsid w:val="00752D7F"/>
    <w:rsid w:val="00755315"/>
    <w:rsid w:val="0075538A"/>
    <w:rsid w:val="00755B87"/>
    <w:rsid w:val="00755BE0"/>
    <w:rsid w:val="007567EA"/>
    <w:rsid w:val="00756E0B"/>
    <w:rsid w:val="00756F97"/>
    <w:rsid w:val="0075786E"/>
    <w:rsid w:val="00760496"/>
    <w:rsid w:val="00761040"/>
    <w:rsid w:val="0076139A"/>
    <w:rsid w:val="007619CB"/>
    <w:rsid w:val="00761C4F"/>
    <w:rsid w:val="0076250B"/>
    <w:rsid w:val="0076262D"/>
    <w:rsid w:val="00762664"/>
    <w:rsid w:val="007629CB"/>
    <w:rsid w:val="00763B3F"/>
    <w:rsid w:val="00763BE4"/>
    <w:rsid w:val="00764987"/>
    <w:rsid w:val="00764C75"/>
    <w:rsid w:val="00765A78"/>
    <w:rsid w:val="00765D21"/>
    <w:rsid w:val="00765F13"/>
    <w:rsid w:val="00765FDA"/>
    <w:rsid w:val="00766113"/>
    <w:rsid w:val="00766334"/>
    <w:rsid w:val="00766B1F"/>
    <w:rsid w:val="00767285"/>
    <w:rsid w:val="00767934"/>
    <w:rsid w:val="00770335"/>
    <w:rsid w:val="00770342"/>
    <w:rsid w:val="00771D88"/>
    <w:rsid w:val="00771E97"/>
    <w:rsid w:val="00772308"/>
    <w:rsid w:val="007724BE"/>
    <w:rsid w:val="007724FE"/>
    <w:rsid w:val="007725B5"/>
    <w:rsid w:val="007725D5"/>
    <w:rsid w:val="007726F2"/>
    <w:rsid w:val="00772745"/>
    <w:rsid w:val="007728CA"/>
    <w:rsid w:val="00772C06"/>
    <w:rsid w:val="00772ECE"/>
    <w:rsid w:val="00773BA3"/>
    <w:rsid w:val="00773CD9"/>
    <w:rsid w:val="00773DBA"/>
    <w:rsid w:val="00773EBD"/>
    <w:rsid w:val="00774237"/>
    <w:rsid w:val="00774321"/>
    <w:rsid w:val="0077450F"/>
    <w:rsid w:val="00774E25"/>
    <w:rsid w:val="007755BA"/>
    <w:rsid w:val="00775F32"/>
    <w:rsid w:val="007763C3"/>
    <w:rsid w:val="007766A3"/>
    <w:rsid w:val="00776BEA"/>
    <w:rsid w:val="00776D10"/>
    <w:rsid w:val="007770E1"/>
    <w:rsid w:val="0077736E"/>
    <w:rsid w:val="0077760E"/>
    <w:rsid w:val="00777967"/>
    <w:rsid w:val="00777D3C"/>
    <w:rsid w:val="0078026D"/>
    <w:rsid w:val="00780634"/>
    <w:rsid w:val="00780848"/>
    <w:rsid w:val="00780F21"/>
    <w:rsid w:val="0078322C"/>
    <w:rsid w:val="00783420"/>
    <w:rsid w:val="00783472"/>
    <w:rsid w:val="007837A3"/>
    <w:rsid w:val="00783B2B"/>
    <w:rsid w:val="00783C33"/>
    <w:rsid w:val="00783D39"/>
    <w:rsid w:val="00784B05"/>
    <w:rsid w:val="00784B0D"/>
    <w:rsid w:val="00784D3A"/>
    <w:rsid w:val="0078512A"/>
    <w:rsid w:val="00785812"/>
    <w:rsid w:val="00785871"/>
    <w:rsid w:val="00785FE0"/>
    <w:rsid w:val="007865AC"/>
    <w:rsid w:val="00786751"/>
    <w:rsid w:val="00786C72"/>
    <w:rsid w:val="00786EB1"/>
    <w:rsid w:val="00787321"/>
    <w:rsid w:val="007874E8"/>
    <w:rsid w:val="0078751C"/>
    <w:rsid w:val="007879F4"/>
    <w:rsid w:val="00787BB3"/>
    <w:rsid w:val="00790F91"/>
    <w:rsid w:val="007914A1"/>
    <w:rsid w:val="0079179D"/>
    <w:rsid w:val="00791A5B"/>
    <w:rsid w:val="00791CFE"/>
    <w:rsid w:val="007925A3"/>
    <w:rsid w:val="00793070"/>
    <w:rsid w:val="00793702"/>
    <w:rsid w:val="00793880"/>
    <w:rsid w:val="00793B42"/>
    <w:rsid w:val="00794A6A"/>
    <w:rsid w:val="00794E9B"/>
    <w:rsid w:val="007963AE"/>
    <w:rsid w:val="00796793"/>
    <w:rsid w:val="007972A1"/>
    <w:rsid w:val="00797898"/>
    <w:rsid w:val="00797AD9"/>
    <w:rsid w:val="00797AFF"/>
    <w:rsid w:val="007A00A2"/>
    <w:rsid w:val="007A0A2B"/>
    <w:rsid w:val="007A1010"/>
    <w:rsid w:val="007A117E"/>
    <w:rsid w:val="007A1387"/>
    <w:rsid w:val="007A2916"/>
    <w:rsid w:val="007A2D22"/>
    <w:rsid w:val="007A2DB0"/>
    <w:rsid w:val="007A31B1"/>
    <w:rsid w:val="007A3E9C"/>
    <w:rsid w:val="007A3EE8"/>
    <w:rsid w:val="007A446C"/>
    <w:rsid w:val="007A453B"/>
    <w:rsid w:val="007A4B35"/>
    <w:rsid w:val="007A5572"/>
    <w:rsid w:val="007A5B4E"/>
    <w:rsid w:val="007A6018"/>
    <w:rsid w:val="007A6546"/>
    <w:rsid w:val="007A67FC"/>
    <w:rsid w:val="007A696D"/>
    <w:rsid w:val="007A6C29"/>
    <w:rsid w:val="007A6D2F"/>
    <w:rsid w:val="007A7BCE"/>
    <w:rsid w:val="007B09DB"/>
    <w:rsid w:val="007B0BFF"/>
    <w:rsid w:val="007B11A8"/>
    <w:rsid w:val="007B11B4"/>
    <w:rsid w:val="007B1632"/>
    <w:rsid w:val="007B195F"/>
    <w:rsid w:val="007B2076"/>
    <w:rsid w:val="007B29BB"/>
    <w:rsid w:val="007B2BEA"/>
    <w:rsid w:val="007B3623"/>
    <w:rsid w:val="007B484D"/>
    <w:rsid w:val="007B49E2"/>
    <w:rsid w:val="007B4B3C"/>
    <w:rsid w:val="007B4BDD"/>
    <w:rsid w:val="007B547C"/>
    <w:rsid w:val="007B594D"/>
    <w:rsid w:val="007B5ADF"/>
    <w:rsid w:val="007B5C09"/>
    <w:rsid w:val="007B6E6A"/>
    <w:rsid w:val="007B755F"/>
    <w:rsid w:val="007C08DC"/>
    <w:rsid w:val="007C0AF0"/>
    <w:rsid w:val="007C1B58"/>
    <w:rsid w:val="007C1C6F"/>
    <w:rsid w:val="007C1EB5"/>
    <w:rsid w:val="007C237E"/>
    <w:rsid w:val="007C28A5"/>
    <w:rsid w:val="007C2FA0"/>
    <w:rsid w:val="007C35A7"/>
    <w:rsid w:val="007C3B6C"/>
    <w:rsid w:val="007C3E2C"/>
    <w:rsid w:val="007C4123"/>
    <w:rsid w:val="007C41DC"/>
    <w:rsid w:val="007C4617"/>
    <w:rsid w:val="007C4C17"/>
    <w:rsid w:val="007C50CC"/>
    <w:rsid w:val="007C5440"/>
    <w:rsid w:val="007C6014"/>
    <w:rsid w:val="007C655F"/>
    <w:rsid w:val="007C6991"/>
    <w:rsid w:val="007C6AA3"/>
    <w:rsid w:val="007C6F20"/>
    <w:rsid w:val="007C74B1"/>
    <w:rsid w:val="007C75B6"/>
    <w:rsid w:val="007C7A71"/>
    <w:rsid w:val="007C7F73"/>
    <w:rsid w:val="007D07A8"/>
    <w:rsid w:val="007D0A71"/>
    <w:rsid w:val="007D0B35"/>
    <w:rsid w:val="007D0EEB"/>
    <w:rsid w:val="007D1A8B"/>
    <w:rsid w:val="007D21DF"/>
    <w:rsid w:val="007D2A18"/>
    <w:rsid w:val="007D2CD2"/>
    <w:rsid w:val="007D2CEF"/>
    <w:rsid w:val="007D410D"/>
    <w:rsid w:val="007D4396"/>
    <w:rsid w:val="007D4C0B"/>
    <w:rsid w:val="007D511C"/>
    <w:rsid w:val="007D6004"/>
    <w:rsid w:val="007D68F3"/>
    <w:rsid w:val="007D6FE1"/>
    <w:rsid w:val="007D7072"/>
    <w:rsid w:val="007D7AF4"/>
    <w:rsid w:val="007E0004"/>
    <w:rsid w:val="007E2D81"/>
    <w:rsid w:val="007E333D"/>
    <w:rsid w:val="007E36BC"/>
    <w:rsid w:val="007E37AB"/>
    <w:rsid w:val="007E4529"/>
    <w:rsid w:val="007E4C32"/>
    <w:rsid w:val="007E4E85"/>
    <w:rsid w:val="007E4F11"/>
    <w:rsid w:val="007E5113"/>
    <w:rsid w:val="007E534B"/>
    <w:rsid w:val="007E583E"/>
    <w:rsid w:val="007E5BBA"/>
    <w:rsid w:val="007E5EB5"/>
    <w:rsid w:val="007E62AF"/>
    <w:rsid w:val="007E6BA9"/>
    <w:rsid w:val="007E77FF"/>
    <w:rsid w:val="007F02DA"/>
    <w:rsid w:val="007F06B0"/>
    <w:rsid w:val="007F0EA6"/>
    <w:rsid w:val="007F0F5E"/>
    <w:rsid w:val="007F1158"/>
    <w:rsid w:val="007F19F8"/>
    <w:rsid w:val="007F223F"/>
    <w:rsid w:val="007F2869"/>
    <w:rsid w:val="007F29AB"/>
    <w:rsid w:val="007F29CB"/>
    <w:rsid w:val="007F2E5D"/>
    <w:rsid w:val="007F2F09"/>
    <w:rsid w:val="007F36AD"/>
    <w:rsid w:val="007F389E"/>
    <w:rsid w:val="007F3A04"/>
    <w:rsid w:val="007F46F5"/>
    <w:rsid w:val="007F4E81"/>
    <w:rsid w:val="007F5053"/>
    <w:rsid w:val="007F5744"/>
    <w:rsid w:val="007F5B5B"/>
    <w:rsid w:val="007F5F79"/>
    <w:rsid w:val="007F613B"/>
    <w:rsid w:val="007F62C0"/>
    <w:rsid w:val="007F6B09"/>
    <w:rsid w:val="007F75B6"/>
    <w:rsid w:val="00800C1B"/>
    <w:rsid w:val="00802286"/>
    <w:rsid w:val="008027F5"/>
    <w:rsid w:val="00802B4D"/>
    <w:rsid w:val="0080322D"/>
    <w:rsid w:val="008032DA"/>
    <w:rsid w:val="0080363B"/>
    <w:rsid w:val="00803C8D"/>
    <w:rsid w:val="008041EE"/>
    <w:rsid w:val="0080424E"/>
    <w:rsid w:val="008047E6"/>
    <w:rsid w:val="00804B99"/>
    <w:rsid w:val="00805736"/>
    <w:rsid w:val="00806024"/>
    <w:rsid w:val="008061FD"/>
    <w:rsid w:val="0080700B"/>
    <w:rsid w:val="00807A21"/>
    <w:rsid w:val="00807B3A"/>
    <w:rsid w:val="008107BB"/>
    <w:rsid w:val="008110AD"/>
    <w:rsid w:val="00811A99"/>
    <w:rsid w:val="00811F59"/>
    <w:rsid w:val="008121EF"/>
    <w:rsid w:val="00812411"/>
    <w:rsid w:val="00812886"/>
    <w:rsid w:val="00812B00"/>
    <w:rsid w:val="00812F46"/>
    <w:rsid w:val="00812FD7"/>
    <w:rsid w:val="0081302A"/>
    <w:rsid w:val="0081359F"/>
    <w:rsid w:val="008146E7"/>
    <w:rsid w:val="008148D7"/>
    <w:rsid w:val="00814DE9"/>
    <w:rsid w:val="008155CF"/>
    <w:rsid w:val="00815C37"/>
    <w:rsid w:val="0081675C"/>
    <w:rsid w:val="0081696A"/>
    <w:rsid w:val="00816BA2"/>
    <w:rsid w:val="00817F44"/>
    <w:rsid w:val="00820343"/>
    <w:rsid w:val="00820545"/>
    <w:rsid w:val="008205A2"/>
    <w:rsid w:val="008218C9"/>
    <w:rsid w:val="00821C94"/>
    <w:rsid w:val="00821DF8"/>
    <w:rsid w:val="00821F8A"/>
    <w:rsid w:val="008220C9"/>
    <w:rsid w:val="008228DD"/>
    <w:rsid w:val="00822F78"/>
    <w:rsid w:val="0082352A"/>
    <w:rsid w:val="0082376D"/>
    <w:rsid w:val="00823C0C"/>
    <w:rsid w:val="00824092"/>
    <w:rsid w:val="00824983"/>
    <w:rsid w:val="008249E9"/>
    <w:rsid w:val="008255E2"/>
    <w:rsid w:val="00825D11"/>
    <w:rsid w:val="00825DBC"/>
    <w:rsid w:val="008264AA"/>
    <w:rsid w:val="00826FD0"/>
    <w:rsid w:val="00827125"/>
    <w:rsid w:val="008308F0"/>
    <w:rsid w:val="008310E7"/>
    <w:rsid w:val="008310F5"/>
    <w:rsid w:val="008313E9"/>
    <w:rsid w:val="00831AE2"/>
    <w:rsid w:val="00831BA4"/>
    <w:rsid w:val="0083281F"/>
    <w:rsid w:val="00832BBF"/>
    <w:rsid w:val="00832D49"/>
    <w:rsid w:val="00833452"/>
    <w:rsid w:val="008334AD"/>
    <w:rsid w:val="008335C8"/>
    <w:rsid w:val="00834DD7"/>
    <w:rsid w:val="00834F05"/>
    <w:rsid w:val="00835116"/>
    <w:rsid w:val="008353D4"/>
    <w:rsid w:val="00835A9D"/>
    <w:rsid w:val="00835C9A"/>
    <w:rsid w:val="00837259"/>
    <w:rsid w:val="0083732E"/>
    <w:rsid w:val="00837385"/>
    <w:rsid w:val="0083745B"/>
    <w:rsid w:val="008374BC"/>
    <w:rsid w:val="008377BA"/>
    <w:rsid w:val="00837BB6"/>
    <w:rsid w:val="00840324"/>
    <w:rsid w:val="008406CB"/>
    <w:rsid w:val="00840D4E"/>
    <w:rsid w:val="0084155A"/>
    <w:rsid w:val="0084182E"/>
    <w:rsid w:val="00841A3C"/>
    <w:rsid w:val="00841EDA"/>
    <w:rsid w:val="008422DA"/>
    <w:rsid w:val="00842303"/>
    <w:rsid w:val="00842B25"/>
    <w:rsid w:val="00843089"/>
    <w:rsid w:val="0084330F"/>
    <w:rsid w:val="00843B2B"/>
    <w:rsid w:val="00843FD8"/>
    <w:rsid w:val="00844F66"/>
    <w:rsid w:val="008452D8"/>
    <w:rsid w:val="0084573E"/>
    <w:rsid w:val="00845807"/>
    <w:rsid w:val="008460A8"/>
    <w:rsid w:val="00846261"/>
    <w:rsid w:val="0084690E"/>
    <w:rsid w:val="00846E6F"/>
    <w:rsid w:val="00846E8B"/>
    <w:rsid w:val="00846F46"/>
    <w:rsid w:val="00847B19"/>
    <w:rsid w:val="00850C92"/>
    <w:rsid w:val="00851689"/>
    <w:rsid w:val="00851AB3"/>
    <w:rsid w:val="008524A7"/>
    <w:rsid w:val="0085276A"/>
    <w:rsid w:val="00852ABE"/>
    <w:rsid w:val="00852D70"/>
    <w:rsid w:val="00852E69"/>
    <w:rsid w:val="00852E6A"/>
    <w:rsid w:val="00853739"/>
    <w:rsid w:val="008544AD"/>
    <w:rsid w:val="008549BD"/>
    <w:rsid w:val="00855672"/>
    <w:rsid w:val="00855A8C"/>
    <w:rsid w:val="00856354"/>
    <w:rsid w:val="00856A7D"/>
    <w:rsid w:val="00856DFF"/>
    <w:rsid w:val="00856EAE"/>
    <w:rsid w:val="0085725C"/>
    <w:rsid w:val="00857919"/>
    <w:rsid w:val="008579DA"/>
    <w:rsid w:val="008579DD"/>
    <w:rsid w:val="00857A66"/>
    <w:rsid w:val="00860297"/>
    <w:rsid w:val="00860319"/>
    <w:rsid w:val="0086064A"/>
    <w:rsid w:val="008609B0"/>
    <w:rsid w:val="00860AD1"/>
    <w:rsid w:val="00861501"/>
    <w:rsid w:val="00861727"/>
    <w:rsid w:val="00862625"/>
    <w:rsid w:val="00862DF4"/>
    <w:rsid w:val="00862FF5"/>
    <w:rsid w:val="00863066"/>
    <w:rsid w:val="008637DE"/>
    <w:rsid w:val="00863A89"/>
    <w:rsid w:val="00863C3A"/>
    <w:rsid w:val="00863D30"/>
    <w:rsid w:val="008644F8"/>
    <w:rsid w:val="00864595"/>
    <w:rsid w:val="00864BF5"/>
    <w:rsid w:val="0086513C"/>
    <w:rsid w:val="00866446"/>
    <w:rsid w:val="00866639"/>
    <w:rsid w:val="00866A78"/>
    <w:rsid w:val="00866AE8"/>
    <w:rsid w:val="0086714C"/>
    <w:rsid w:val="008700B6"/>
    <w:rsid w:val="008707FC"/>
    <w:rsid w:val="0087083F"/>
    <w:rsid w:val="00870CC1"/>
    <w:rsid w:val="00871524"/>
    <w:rsid w:val="0087190A"/>
    <w:rsid w:val="00872031"/>
    <w:rsid w:val="008726FC"/>
    <w:rsid w:val="008738AC"/>
    <w:rsid w:val="00873F0E"/>
    <w:rsid w:val="00873F84"/>
    <w:rsid w:val="00874322"/>
    <w:rsid w:val="00875119"/>
    <w:rsid w:val="00875253"/>
    <w:rsid w:val="008759F8"/>
    <w:rsid w:val="008763D8"/>
    <w:rsid w:val="0087797B"/>
    <w:rsid w:val="00880040"/>
    <w:rsid w:val="00880187"/>
    <w:rsid w:val="008801B9"/>
    <w:rsid w:val="00880861"/>
    <w:rsid w:val="00880EE1"/>
    <w:rsid w:val="00880F11"/>
    <w:rsid w:val="00881089"/>
    <w:rsid w:val="008812B3"/>
    <w:rsid w:val="008824A5"/>
    <w:rsid w:val="00883194"/>
    <w:rsid w:val="00883358"/>
    <w:rsid w:val="00883676"/>
    <w:rsid w:val="00884D55"/>
    <w:rsid w:val="00885484"/>
    <w:rsid w:val="00885B3D"/>
    <w:rsid w:val="00886009"/>
    <w:rsid w:val="00886059"/>
    <w:rsid w:val="00886B14"/>
    <w:rsid w:val="00886B42"/>
    <w:rsid w:val="0088702C"/>
    <w:rsid w:val="00887307"/>
    <w:rsid w:val="00887AED"/>
    <w:rsid w:val="00887E8F"/>
    <w:rsid w:val="00890588"/>
    <w:rsid w:val="0089069C"/>
    <w:rsid w:val="00891A06"/>
    <w:rsid w:val="00892307"/>
    <w:rsid w:val="008923EC"/>
    <w:rsid w:val="008927C6"/>
    <w:rsid w:val="00892CFF"/>
    <w:rsid w:val="0089311C"/>
    <w:rsid w:val="00893E1D"/>
    <w:rsid w:val="00894154"/>
    <w:rsid w:val="00894661"/>
    <w:rsid w:val="00895B37"/>
    <w:rsid w:val="0089607E"/>
    <w:rsid w:val="0089636B"/>
    <w:rsid w:val="008969BD"/>
    <w:rsid w:val="008969C5"/>
    <w:rsid w:val="008970B6"/>
    <w:rsid w:val="0089722C"/>
    <w:rsid w:val="00897474"/>
    <w:rsid w:val="008976DB"/>
    <w:rsid w:val="008978AE"/>
    <w:rsid w:val="00897DE9"/>
    <w:rsid w:val="008A007A"/>
    <w:rsid w:val="008A0887"/>
    <w:rsid w:val="008A1395"/>
    <w:rsid w:val="008A15DC"/>
    <w:rsid w:val="008A1A9B"/>
    <w:rsid w:val="008A23DC"/>
    <w:rsid w:val="008A3175"/>
    <w:rsid w:val="008A3373"/>
    <w:rsid w:val="008A3437"/>
    <w:rsid w:val="008A3CEC"/>
    <w:rsid w:val="008A3ED1"/>
    <w:rsid w:val="008A3EED"/>
    <w:rsid w:val="008A3F3E"/>
    <w:rsid w:val="008A41E9"/>
    <w:rsid w:val="008A48D7"/>
    <w:rsid w:val="008A494A"/>
    <w:rsid w:val="008A4956"/>
    <w:rsid w:val="008A49B0"/>
    <w:rsid w:val="008A4C82"/>
    <w:rsid w:val="008A4D7A"/>
    <w:rsid w:val="008A61A3"/>
    <w:rsid w:val="008A6616"/>
    <w:rsid w:val="008A6EC6"/>
    <w:rsid w:val="008B02E0"/>
    <w:rsid w:val="008B057E"/>
    <w:rsid w:val="008B0A07"/>
    <w:rsid w:val="008B0CD9"/>
    <w:rsid w:val="008B0D0E"/>
    <w:rsid w:val="008B0F8C"/>
    <w:rsid w:val="008B1559"/>
    <w:rsid w:val="008B1574"/>
    <w:rsid w:val="008B1834"/>
    <w:rsid w:val="008B1956"/>
    <w:rsid w:val="008B2158"/>
    <w:rsid w:val="008B2383"/>
    <w:rsid w:val="008B2C38"/>
    <w:rsid w:val="008B2ED4"/>
    <w:rsid w:val="008B42D0"/>
    <w:rsid w:val="008B4755"/>
    <w:rsid w:val="008B5E48"/>
    <w:rsid w:val="008B6521"/>
    <w:rsid w:val="008B6D86"/>
    <w:rsid w:val="008B7129"/>
    <w:rsid w:val="008B7C40"/>
    <w:rsid w:val="008C03F3"/>
    <w:rsid w:val="008C051C"/>
    <w:rsid w:val="008C09F7"/>
    <w:rsid w:val="008C0EB0"/>
    <w:rsid w:val="008C0F57"/>
    <w:rsid w:val="008C1117"/>
    <w:rsid w:val="008C1292"/>
    <w:rsid w:val="008C1686"/>
    <w:rsid w:val="008C1AF3"/>
    <w:rsid w:val="008C1B21"/>
    <w:rsid w:val="008C1B90"/>
    <w:rsid w:val="008C1F63"/>
    <w:rsid w:val="008C261E"/>
    <w:rsid w:val="008C2661"/>
    <w:rsid w:val="008C2676"/>
    <w:rsid w:val="008C276F"/>
    <w:rsid w:val="008C2778"/>
    <w:rsid w:val="008C3427"/>
    <w:rsid w:val="008C3F46"/>
    <w:rsid w:val="008C3FC7"/>
    <w:rsid w:val="008C4025"/>
    <w:rsid w:val="008C403D"/>
    <w:rsid w:val="008C47A6"/>
    <w:rsid w:val="008C5D45"/>
    <w:rsid w:val="008C5F49"/>
    <w:rsid w:val="008C6BA2"/>
    <w:rsid w:val="008C6FAE"/>
    <w:rsid w:val="008C7043"/>
    <w:rsid w:val="008C7431"/>
    <w:rsid w:val="008C7455"/>
    <w:rsid w:val="008C7AC0"/>
    <w:rsid w:val="008C7C8D"/>
    <w:rsid w:val="008C7F4E"/>
    <w:rsid w:val="008D04A4"/>
    <w:rsid w:val="008D057A"/>
    <w:rsid w:val="008D0A4E"/>
    <w:rsid w:val="008D0A90"/>
    <w:rsid w:val="008D19A4"/>
    <w:rsid w:val="008D1BBB"/>
    <w:rsid w:val="008D1DE7"/>
    <w:rsid w:val="008D1ED5"/>
    <w:rsid w:val="008D1F45"/>
    <w:rsid w:val="008D2182"/>
    <w:rsid w:val="008D2220"/>
    <w:rsid w:val="008D2866"/>
    <w:rsid w:val="008D2C45"/>
    <w:rsid w:val="008D2EA2"/>
    <w:rsid w:val="008D3611"/>
    <w:rsid w:val="008D3718"/>
    <w:rsid w:val="008D37FD"/>
    <w:rsid w:val="008D3D15"/>
    <w:rsid w:val="008D4260"/>
    <w:rsid w:val="008D4A5D"/>
    <w:rsid w:val="008D4D87"/>
    <w:rsid w:val="008D4F41"/>
    <w:rsid w:val="008D552D"/>
    <w:rsid w:val="008D6197"/>
    <w:rsid w:val="008D6742"/>
    <w:rsid w:val="008D6B86"/>
    <w:rsid w:val="008D76A3"/>
    <w:rsid w:val="008E1891"/>
    <w:rsid w:val="008E1980"/>
    <w:rsid w:val="008E1BD4"/>
    <w:rsid w:val="008E23DF"/>
    <w:rsid w:val="008E266C"/>
    <w:rsid w:val="008E3329"/>
    <w:rsid w:val="008E35B0"/>
    <w:rsid w:val="008E3C6F"/>
    <w:rsid w:val="008E3F4C"/>
    <w:rsid w:val="008E42BF"/>
    <w:rsid w:val="008E4376"/>
    <w:rsid w:val="008E459A"/>
    <w:rsid w:val="008E46FF"/>
    <w:rsid w:val="008E4E9E"/>
    <w:rsid w:val="008E5ADA"/>
    <w:rsid w:val="008E6669"/>
    <w:rsid w:val="008E6DD6"/>
    <w:rsid w:val="008E724E"/>
    <w:rsid w:val="008E735A"/>
    <w:rsid w:val="008F094A"/>
    <w:rsid w:val="008F09DB"/>
    <w:rsid w:val="008F0BA0"/>
    <w:rsid w:val="008F0F4A"/>
    <w:rsid w:val="008F108B"/>
    <w:rsid w:val="008F12F9"/>
    <w:rsid w:val="008F1598"/>
    <w:rsid w:val="008F176E"/>
    <w:rsid w:val="008F1964"/>
    <w:rsid w:val="008F1C7C"/>
    <w:rsid w:val="008F2245"/>
    <w:rsid w:val="008F249A"/>
    <w:rsid w:val="008F2BEB"/>
    <w:rsid w:val="008F2D82"/>
    <w:rsid w:val="008F2F98"/>
    <w:rsid w:val="008F3C44"/>
    <w:rsid w:val="008F3F6B"/>
    <w:rsid w:val="008F4038"/>
    <w:rsid w:val="008F4AE7"/>
    <w:rsid w:val="008F4ECC"/>
    <w:rsid w:val="008F5036"/>
    <w:rsid w:val="008F5246"/>
    <w:rsid w:val="008F5A1B"/>
    <w:rsid w:val="008F65E3"/>
    <w:rsid w:val="008F6BF5"/>
    <w:rsid w:val="008F7346"/>
    <w:rsid w:val="009001B6"/>
    <w:rsid w:val="009004F1"/>
    <w:rsid w:val="00900607"/>
    <w:rsid w:val="009008BA"/>
    <w:rsid w:val="00900DE5"/>
    <w:rsid w:val="00900F10"/>
    <w:rsid w:val="00901355"/>
    <w:rsid w:val="00901BB0"/>
    <w:rsid w:val="0090249C"/>
    <w:rsid w:val="009029D5"/>
    <w:rsid w:val="009033B3"/>
    <w:rsid w:val="009036A1"/>
    <w:rsid w:val="009037CF"/>
    <w:rsid w:val="0090384D"/>
    <w:rsid w:val="0090478D"/>
    <w:rsid w:val="00904B8D"/>
    <w:rsid w:val="00904EFD"/>
    <w:rsid w:val="00904F7B"/>
    <w:rsid w:val="0090521D"/>
    <w:rsid w:val="00905228"/>
    <w:rsid w:val="0090534B"/>
    <w:rsid w:val="0090534F"/>
    <w:rsid w:val="009055CB"/>
    <w:rsid w:val="009059FE"/>
    <w:rsid w:val="00906507"/>
    <w:rsid w:val="00906C41"/>
    <w:rsid w:val="00906C6F"/>
    <w:rsid w:val="0090764A"/>
    <w:rsid w:val="0090773C"/>
    <w:rsid w:val="009106CE"/>
    <w:rsid w:val="009108F6"/>
    <w:rsid w:val="00910FBB"/>
    <w:rsid w:val="00910FF2"/>
    <w:rsid w:val="00911113"/>
    <w:rsid w:val="009111BB"/>
    <w:rsid w:val="00911722"/>
    <w:rsid w:val="00911BBF"/>
    <w:rsid w:val="0091256C"/>
    <w:rsid w:val="00914474"/>
    <w:rsid w:val="00914BD6"/>
    <w:rsid w:val="009157AE"/>
    <w:rsid w:val="00915ABD"/>
    <w:rsid w:val="00917618"/>
    <w:rsid w:val="0091764C"/>
    <w:rsid w:val="009176D9"/>
    <w:rsid w:val="00917A88"/>
    <w:rsid w:val="00917ACC"/>
    <w:rsid w:val="00917B27"/>
    <w:rsid w:val="00917C34"/>
    <w:rsid w:val="0092078D"/>
    <w:rsid w:val="00920805"/>
    <w:rsid w:val="00920915"/>
    <w:rsid w:val="0092197B"/>
    <w:rsid w:val="00922020"/>
    <w:rsid w:val="00922048"/>
    <w:rsid w:val="0092206F"/>
    <w:rsid w:val="00922BF2"/>
    <w:rsid w:val="00922E30"/>
    <w:rsid w:val="00923D55"/>
    <w:rsid w:val="0092400C"/>
    <w:rsid w:val="00924434"/>
    <w:rsid w:val="009244ED"/>
    <w:rsid w:val="00924A20"/>
    <w:rsid w:val="00925759"/>
    <w:rsid w:val="00925F09"/>
    <w:rsid w:val="00926784"/>
    <w:rsid w:val="00926C73"/>
    <w:rsid w:val="009272EA"/>
    <w:rsid w:val="009274D8"/>
    <w:rsid w:val="009275AC"/>
    <w:rsid w:val="009278C6"/>
    <w:rsid w:val="0093035F"/>
    <w:rsid w:val="00930714"/>
    <w:rsid w:val="00930EFB"/>
    <w:rsid w:val="00932A52"/>
    <w:rsid w:val="00932D21"/>
    <w:rsid w:val="00932E4C"/>
    <w:rsid w:val="00933016"/>
    <w:rsid w:val="009339CE"/>
    <w:rsid w:val="009339D4"/>
    <w:rsid w:val="00934826"/>
    <w:rsid w:val="00934983"/>
    <w:rsid w:val="00934CAD"/>
    <w:rsid w:val="00935D4C"/>
    <w:rsid w:val="00936402"/>
    <w:rsid w:val="009365BA"/>
    <w:rsid w:val="00936619"/>
    <w:rsid w:val="00936738"/>
    <w:rsid w:val="00936D7A"/>
    <w:rsid w:val="009370CA"/>
    <w:rsid w:val="0093724F"/>
    <w:rsid w:val="0093798E"/>
    <w:rsid w:val="00940463"/>
    <w:rsid w:val="00940C28"/>
    <w:rsid w:val="00940F83"/>
    <w:rsid w:val="00941216"/>
    <w:rsid w:val="009412EA"/>
    <w:rsid w:val="00941AED"/>
    <w:rsid w:val="00942280"/>
    <w:rsid w:val="00942B10"/>
    <w:rsid w:val="009430EA"/>
    <w:rsid w:val="009437BA"/>
    <w:rsid w:val="00943F4F"/>
    <w:rsid w:val="00944832"/>
    <w:rsid w:val="00945071"/>
    <w:rsid w:val="009457EB"/>
    <w:rsid w:val="00945D75"/>
    <w:rsid w:val="0094630A"/>
    <w:rsid w:val="00946E34"/>
    <w:rsid w:val="00946EE9"/>
    <w:rsid w:val="00946F0E"/>
    <w:rsid w:val="00947D5E"/>
    <w:rsid w:val="009500A7"/>
    <w:rsid w:val="0095138A"/>
    <w:rsid w:val="009513C9"/>
    <w:rsid w:val="009521F2"/>
    <w:rsid w:val="00952250"/>
    <w:rsid w:val="00952535"/>
    <w:rsid w:val="009531AE"/>
    <w:rsid w:val="00953584"/>
    <w:rsid w:val="009535B6"/>
    <w:rsid w:val="00953606"/>
    <w:rsid w:val="00954E79"/>
    <w:rsid w:val="00955867"/>
    <w:rsid w:val="00956055"/>
    <w:rsid w:val="00956BBB"/>
    <w:rsid w:val="0095712F"/>
    <w:rsid w:val="0095723C"/>
    <w:rsid w:val="00957296"/>
    <w:rsid w:val="009574C2"/>
    <w:rsid w:val="00957A2E"/>
    <w:rsid w:val="0096093E"/>
    <w:rsid w:val="009611D5"/>
    <w:rsid w:val="009613A8"/>
    <w:rsid w:val="0096169C"/>
    <w:rsid w:val="00961BF7"/>
    <w:rsid w:val="009622A5"/>
    <w:rsid w:val="00962499"/>
    <w:rsid w:val="00962B84"/>
    <w:rsid w:val="00962DF0"/>
    <w:rsid w:val="00962FE6"/>
    <w:rsid w:val="00963B19"/>
    <w:rsid w:val="00964021"/>
    <w:rsid w:val="009643A5"/>
    <w:rsid w:val="00964A2A"/>
    <w:rsid w:val="00964D6A"/>
    <w:rsid w:val="00964F02"/>
    <w:rsid w:val="00964F91"/>
    <w:rsid w:val="009654AD"/>
    <w:rsid w:val="00965F82"/>
    <w:rsid w:val="0096613D"/>
    <w:rsid w:val="009664BA"/>
    <w:rsid w:val="00966867"/>
    <w:rsid w:val="00966BAB"/>
    <w:rsid w:val="00967EE2"/>
    <w:rsid w:val="00967EE9"/>
    <w:rsid w:val="00970181"/>
    <w:rsid w:val="009702E9"/>
    <w:rsid w:val="0097073C"/>
    <w:rsid w:val="00970BC8"/>
    <w:rsid w:val="00970DCE"/>
    <w:rsid w:val="00971017"/>
    <w:rsid w:val="00971614"/>
    <w:rsid w:val="009723CF"/>
    <w:rsid w:val="00972714"/>
    <w:rsid w:val="00972779"/>
    <w:rsid w:val="00972925"/>
    <w:rsid w:val="00972B73"/>
    <w:rsid w:val="00972ECD"/>
    <w:rsid w:val="0097318A"/>
    <w:rsid w:val="00973322"/>
    <w:rsid w:val="0097338A"/>
    <w:rsid w:val="00973CBB"/>
    <w:rsid w:val="00973E74"/>
    <w:rsid w:val="00973F70"/>
    <w:rsid w:val="0097417F"/>
    <w:rsid w:val="009741B8"/>
    <w:rsid w:val="0097458F"/>
    <w:rsid w:val="0097466B"/>
    <w:rsid w:val="0097482B"/>
    <w:rsid w:val="00974ECD"/>
    <w:rsid w:val="00975099"/>
    <w:rsid w:val="00975D27"/>
    <w:rsid w:val="009766D9"/>
    <w:rsid w:val="00976AD3"/>
    <w:rsid w:val="00976BBA"/>
    <w:rsid w:val="00977315"/>
    <w:rsid w:val="00977502"/>
    <w:rsid w:val="009778BA"/>
    <w:rsid w:val="00977CE0"/>
    <w:rsid w:val="00977DFF"/>
    <w:rsid w:val="0098061D"/>
    <w:rsid w:val="0098091E"/>
    <w:rsid w:val="00980C8C"/>
    <w:rsid w:val="0098147C"/>
    <w:rsid w:val="0098159E"/>
    <w:rsid w:val="00981B6E"/>
    <w:rsid w:val="00981EB8"/>
    <w:rsid w:val="0098221E"/>
    <w:rsid w:val="009825EB"/>
    <w:rsid w:val="00983634"/>
    <w:rsid w:val="0098371F"/>
    <w:rsid w:val="00983727"/>
    <w:rsid w:val="00983E45"/>
    <w:rsid w:val="0098491A"/>
    <w:rsid w:val="0098551B"/>
    <w:rsid w:val="00985699"/>
    <w:rsid w:val="00985802"/>
    <w:rsid w:val="00986005"/>
    <w:rsid w:val="009862E8"/>
    <w:rsid w:val="009866D3"/>
    <w:rsid w:val="00986963"/>
    <w:rsid w:val="009874D3"/>
    <w:rsid w:val="00987B63"/>
    <w:rsid w:val="00987E8D"/>
    <w:rsid w:val="009901C4"/>
    <w:rsid w:val="00990451"/>
    <w:rsid w:val="009904CB"/>
    <w:rsid w:val="00990661"/>
    <w:rsid w:val="00991156"/>
    <w:rsid w:val="0099118C"/>
    <w:rsid w:val="00991301"/>
    <w:rsid w:val="00991814"/>
    <w:rsid w:val="00991E7E"/>
    <w:rsid w:val="00992260"/>
    <w:rsid w:val="009922DE"/>
    <w:rsid w:val="0099290D"/>
    <w:rsid w:val="00992E41"/>
    <w:rsid w:val="00993019"/>
    <w:rsid w:val="00993558"/>
    <w:rsid w:val="00993868"/>
    <w:rsid w:val="00993FAB"/>
    <w:rsid w:val="009940F3"/>
    <w:rsid w:val="00994212"/>
    <w:rsid w:val="009946B1"/>
    <w:rsid w:val="00994942"/>
    <w:rsid w:val="00994A81"/>
    <w:rsid w:val="00995130"/>
    <w:rsid w:val="00995252"/>
    <w:rsid w:val="009954D3"/>
    <w:rsid w:val="00995615"/>
    <w:rsid w:val="0099579B"/>
    <w:rsid w:val="0099651C"/>
    <w:rsid w:val="00997649"/>
    <w:rsid w:val="009A1351"/>
    <w:rsid w:val="009A16E2"/>
    <w:rsid w:val="009A1910"/>
    <w:rsid w:val="009A2128"/>
    <w:rsid w:val="009A245E"/>
    <w:rsid w:val="009A2466"/>
    <w:rsid w:val="009A2E65"/>
    <w:rsid w:val="009A30FE"/>
    <w:rsid w:val="009A41AA"/>
    <w:rsid w:val="009A4570"/>
    <w:rsid w:val="009A4B22"/>
    <w:rsid w:val="009A4CB0"/>
    <w:rsid w:val="009A5322"/>
    <w:rsid w:val="009A5AFE"/>
    <w:rsid w:val="009A6490"/>
    <w:rsid w:val="009A75AB"/>
    <w:rsid w:val="009B1034"/>
    <w:rsid w:val="009B1DA9"/>
    <w:rsid w:val="009B2039"/>
    <w:rsid w:val="009B21C3"/>
    <w:rsid w:val="009B2280"/>
    <w:rsid w:val="009B275D"/>
    <w:rsid w:val="009B2871"/>
    <w:rsid w:val="009B2C9A"/>
    <w:rsid w:val="009B2CF9"/>
    <w:rsid w:val="009B4074"/>
    <w:rsid w:val="009B4088"/>
    <w:rsid w:val="009B41FB"/>
    <w:rsid w:val="009B4254"/>
    <w:rsid w:val="009B43F5"/>
    <w:rsid w:val="009B4A38"/>
    <w:rsid w:val="009B4F20"/>
    <w:rsid w:val="009B5DF8"/>
    <w:rsid w:val="009B61C3"/>
    <w:rsid w:val="009B675C"/>
    <w:rsid w:val="009B70A7"/>
    <w:rsid w:val="009B711D"/>
    <w:rsid w:val="009B73BC"/>
    <w:rsid w:val="009B73C6"/>
    <w:rsid w:val="009B756B"/>
    <w:rsid w:val="009B7BDB"/>
    <w:rsid w:val="009B7E85"/>
    <w:rsid w:val="009B7FAC"/>
    <w:rsid w:val="009C01DF"/>
    <w:rsid w:val="009C0433"/>
    <w:rsid w:val="009C0B1A"/>
    <w:rsid w:val="009C180B"/>
    <w:rsid w:val="009C1E58"/>
    <w:rsid w:val="009C1EA6"/>
    <w:rsid w:val="009C3716"/>
    <w:rsid w:val="009C39A4"/>
    <w:rsid w:val="009C3DA7"/>
    <w:rsid w:val="009C3FD1"/>
    <w:rsid w:val="009C4E32"/>
    <w:rsid w:val="009C504D"/>
    <w:rsid w:val="009C5363"/>
    <w:rsid w:val="009C5367"/>
    <w:rsid w:val="009C5FE3"/>
    <w:rsid w:val="009C6654"/>
    <w:rsid w:val="009C6A43"/>
    <w:rsid w:val="009C6CE9"/>
    <w:rsid w:val="009C726E"/>
    <w:rsid w:val="009C7288"/>
    <w:rsid w:val="009C7495"/>
    <w:rsid w:val="009C7D58"/>
    <w:rsid w:val="009D0348"/>
    <w:rsid w:val="009D06E4"/>
    <w:rsid w:val="009D0DC9"/>
    <w:rsid w:val="009D1BF6"/>
    <w:rsid w:val="009D1CCE"/>
    <w:rsid w:val="009D33E2"/>
    <w:rsid w:val="009D37A1"/>
    <w:rsid w:val="009D381E"/>
    <w:rsid w:val="009D3FC1"/>
    <w:rsid w:val="009D483C"/>
    <w:rsid w:val="009D4DAA"/>
    <w:rsid w:val="009D50FF"/>
    <w:rsid w:val="009D5158"/>
    <w:rsid w:val="009D5237"/>
    <w:rsid w:val="009D5628"/>
    <w:rsid w:val="009D6F68"/>
    <w:rsid w:val="009D71A4"/>
    <w:rsid w:val="009D774A"/>
    <w:rsid w:val="009D7FDF"/>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C8D"/>
    <w:rsid w:val="009E4FC8"/>
    <w:rsid w:val="009E518E"/>
    <w:rsid w:val="009E5467"/>
    <w:rsid w:val="009E552A"/>
    <w:rsid w:val="009E55E6"/>
    <w:rsid w:val="009E57E8"/>
    <w:rsid w:val="009E62F5"/>
    <w:rsid w:val="009E66A8"/>
    <w:rsid w:val="009E6C9D"/>
    <w:rsid w:val="009E6CC1"/>
    <w:rsid w:val="009E70DF"/>
    <w:rsid w:val="009E77CE"/>
    <w:rsid w:val="009E79DA"/>
    <w:rsid w:val="009F00AB"/>
    <w:rsid w:val="009F0987"/>
    <w:rsid w:val="009F0F16"/>
    <w:rsid w:val="009F1646"/>
    <w:rsid w:val="009F2445"/>
    <w:rsid w:val="009F27A4"/>
    <w:rsid w:val="009F3445"/>
    <w:rsid w:val="009F41AB"/>
    <w:rsid w:val="009F44FA"/>
    <w:rsid w:val="009F47F1"/>
    <w:rsid w:val="009F4989"/>
    <w:rsid w:val="009F5B8B"/>
    <w:rsid w:val="009F5BB6"/>
    <w:rsid w:val="009F768A"/>
    <w:rsid w:val="009F78C1"/>
    <w:rsid w:val="009F7C30"/>
    <w:rsid w:val="009F7E5E"/>
    <w:rsid w:val="009F7FFC"/>
    <w:rsid w:val="00A00CAC"/>
    <w:rsid w:val="00A01F38"/>
    <w:rsid w:val="00A02327"/>
    <w:rsid w:val="00A0241F"/>
    <w:rsid w:val="00A026D0"/>
    <w:rsid w:val="00A02771"/>
    <w:rsid w:val="00A027F8"/>
    <w:rsid w:val="00A02D68"/>
    <w:rsid w:val="00A03BFE"/>
    <w:rsid w:val="00A05B33"/>
    <w:rsid w:val="00A062B4"/>
    <w:rsid w:val="00A06328"/>
    <w:rsid w:val="00A065DE"/>
    <w:rsid w:val="00A06E37"/>
    <w:rsid w:val="00A117EC"/>
    <w:rsid w:val="00A11A71"/>
    <w:rsid w:val="00A1284C"/>
    <w:rsid w:val="00A12C5D"/>
    <w:rsid w:val="00A1341C"/>
    <w:rsid w:val="00A1346D"/>
    <w:rsid w:val="00A13D48"/>
    <w:rsid w:val="00A140BE"/>
    <w:rsid w:val="00A14274"/>
    <w:rsid w:val="00A1450E"/>
    <w:rsid w:val="00A1471A"/>
    <w:rsid w:val="00A151E8"/>
    <w:rsid w:val="00A1535C"/>
    <w:rsid w:val="00A15B6E"/>
    <w:rsid w:val="00A160D7"/>
    <w:rsid w:val="00A16A68"/>
    <w:rsid w:val="00A16BE0"/>
    <w:rsid w:val="00A17196"/>
    <w:rsid w:val="00A1765E"/>
    <w:rsid w:val="00A2042E"/>
    <w:rsid w:val="00A208B3"/>
    <w:rsid w:val="00A20FB2"/>
    <w:rsid w:val="00A210DE"/>
    <w:rsid w:val="00A21C57"/>
    <w:rsid w:val="00A21CEA"/>
    <w:rsid w:val="00A21E9E"/>
    <w:rsid w:val="00A21FA6"/>
    <w:rsid w:val="00A221D5"/>
    <w:rsid w:val="00A221EA"/>
    <w:rsid w:val="00A22667"/>
    <w:rsid w:val="00A22DE1"/>
    <w:rsid w:val="00A23169"/>
    <w:rsid w:val="00A2413A"/>
    <w:rsid w:val="00A2432A"/>
    <w:rsid w:val="00A24682"/>
    <w:rsid w:val="00A25558"/>
    <w:rsid w:val="00A2624D"/>
    <w:rsid w:val="00A2653D"/>
    <w:rsid w:val="00A2703C"/>
    <w:rsid w:val="00A270B4"/>
    <w:rsid w:val="00A27662"/>
    <w:rsid w:val="00A278AC"/>
    <w:rsid w:val="00A27A0E"/>
    <w:rsid w:val="00A27CE1"/>
    <w:rsid w:val="00A27E74"/>
    <w:rsid w:val="00A30415"/>
    <w:rsid w:val="00A3063F"/>
    <w:rsid w:val="00A30B80"/>
    <w:rsid w:val="00A310D4"/>
    <w:rsid w:val="00A31230"/>
    <w:rsid w:val="00A31261"/>
    <w:rsid w:val="00A313F8"/>
    <w:rsid w:val="00A31D00"/>
    <w:rsid w:val="00A323E7"/>
    <w:rsid w:val="00A32A60"/>
    <w:rsid w:val="00A33088"/>
    <w:rsid w:val="00A333CF"/>
    <w:rsid w:val="00A333D2"/>
    <w:rsid w:val="00A33779"/>
    <w:rsid w:val="00A33C2E"/>
    <w:rsid w:val="00A34504"/>
    <w:rsid w:val="00A366B8"/>
    <w:rsid w:val="00A374E6"/>
    <w:rsid w:val="00A374F0"/>
    <w:rsid w:val="00A378BF"/>
    <w:rsid w:val="00A37C8D"/>
    <w:rsid w:val="00A40ABE"/>
    <w:rsid w:val="00A411A3"/>
    <w:rsid w:val="00A419D7"/>
    <w:rsid w:val="00A41A66"/>
    <w:rsid w:val="00A41A9B"/>
    <w:rsid w:val="00A422C4"/>
    <w:rsid w:val="00A4340F"/>
    <w:rsid w:val="00A4366D"/>
    <w:rsid w:val="00A444A5"/>
    <w:rsid w:val="00A445C4"/>
    <w:rsid w:val="00A446C1"/>
    <w:rsid w:val="00A44E28"/>
    <w:rsid w:val="00A45049"/>
    <w:rsid w:val="00A4569E"/>
    <w:rsid w:val="00A459EA"/>
    <w:rsid w:val="00A45B0A"/>
    <w:rsid w:val="00A45F32"/>
    <w:rsid w:val="00A46A43"/>
    <w:rsid w:val="00A46CD8"/>
    <w:rsid w:val="00A46FF7"/>
    <w:rsid w:val="00A4730D"/>
    <w:rsid w:val="00A4735E"/>
    <w:rsid w:val="00A47399"/>
    <w:rsid w:val="00A479A4"/>
    <w:rsid w:val="00A47A41"/>
    <w:rsid w:val="00A505D6"/>
    <w:rsid w:val="00A50D90"/>
    <w:rsid w:val="00A51BF3"/>
    <w:rsid w:val="00A51D3B"/>
    <w:rsid w:val="00A51FD0"/>
    <w:rsid w:val="00A520DE"/>
    <w:rsid w:val="00A52394"/>
    <w:rsid w:val="00A524AF"/>
    <w:rsid w:val="00A52657"/>
    <w:rsid w:val="00A52823"/>
    <w:rsid w:val="00A52BF8"/>
    <w:rsid w:val="00A530B6"/>
    <w:rsid w:val="00A531AC"/>
    <w:rsid w:val="00A5373A"/>
    <w:rsid w:val="00A53AB2"/>
    <w:rsid w:val="00A53C07"/>
    <w:rsid w:val="00A54169"/>
    <w:rsid w:val="00A5482A"/>
    <w:rsid w:val="00A54AAC"/>
    <w:rsid w:val="00A54BC1"/>
    <w:rsid w:val="00A550BE"/>
    <w:rsid w:val="00A55291"/>
    <w:rsid w:val="00A5535D"/>
    <w:rsid w:val="00A55E19"/>
    <w:rsid w:val="00A5600A"/>
    <w:rsid w:val="00A56273"/>
    <w:rsid w:val="00A564A7"/>
    <w:rsid w:val="00A566D6"/>
    <w:rsid w:val="00A56A9F"/>
    <w:rsid w:val="00A56E76"/>
    <w:rsid w:val="00A56F55"/>
    <w:rsid w:val="00A570A7"/>
    <w:rsid w:val="00A57B72"/>
    <w:rsid w:val="00A57E47"/>
    <w:rsid w:val="00A607B2"/>
    <w:rsid w:val="00A61292"/>
    <w:rsid w:val="00A614F8"/>
    <w:rsid w:val="00A61CF5"/>
    <w:rsid w:val="00A61CF8"/>
    <w:rsid w:val="00A61EF8"/>
    <w:rsid w:val="00A628F1"/>
    <w:rsid w:val="00A629D0"/>
    <w:rsid w:val="00A62A83"/>
    <w:rsid w:val="00A6310C"/>
    <w:rsid w:val="00A63188"/>
    <w:rsid w:val="00A639E6"/>
    <w:rsid w:val="00A649EC"/>
    <w:rsid w:val="00A64CCF"/>
    <w:rsid w:val="00A64D67"/>
    <w:rsid w:val="00A64FF3"/>
    <w:rsid w:val="00A65F3C"/>
    <w:rsid w:val="00A65FA7"/>
    <w:rsid w:val="00A66C0F"/>
    <w:rsid w:val="00A6714D"/>
    <w:rsid w:val="00A67872"/>
    <w:rsid w:val="00A709EA"/>
    <w:rsid w:val="00A71841"/>
    <w:rsid w:val="00A71D1C"/>
    <w:rsid w:val="00A71E0E"/>
    <w:rsid w:val="00A71E5E"/>
    <w:rsid w:val="00A71E88"/>
    <w:rsid w:val="00A72236"/>
    <w:rsid w:val="00A72BC5"/>
    <w:rsid w:val="00A72EC7"/>
    <w:rsid w:val="00A72F0C"/>
    <w:rsid w:val="00A73DB2"/>
    <w:rsid w:val="00A742BA"/>
    <w:rsid w:val="00A746A7"/>
    <w:rsid w:val="00A74911"/>
    <w:rsid w:val="00A75259"/>
    <w:rsid w:val="00A752EB"/>
    <w:rsid w:val="00A75A81"/>
    <w:rsid w:val="00A76262"/>
    <w:rsid w:val="00A7661A"/>
    <w:rsid w:val="00A76C99"/>
    <w:rsid w:val="00A77296"/>
    <w:rsid w:val="00A77717"/>
    <w:rsid w:val="00A80046"/>
    <w:rsid w:val="00A80169"/>
    <w:rsid w:val="00A80AD0"/>
    <w:rsid w:val="00A80CC9"/>
    <w:rsid w:val="00A80EDC"/>
    <w:rsid w:val="00A80FD5"/>
    <w:rsid w:val="00A81068"/>
    <w:rsid w:val="00A81333"/>
    <w:rsid w:val="00A81F9C"/>
    <w:rsid w:val="00A82565"/>
    <w:rsid w:val="00A825E5"/>
    <w:rsid w:val="00A82995"/>
    <w:rsid w:val="00A82F18"/>
    <w:rsid w:val="00A835EC"/>
    <w:rsid w:val="00A8387E"/>
    <w:rsid w:val="00A841FE"/>
    <w:rsid w:val="00A8467E"/>
    <w:rsid w:val="00A84D37"/>
    <w:rsid w:val="00A855CB"/>
    <w:rsid w:val="00A85717"/>
    <w:rsid w:val="00A85BD7"/>
    <w:rsid w:val="00A85CFC"/>
    <w:rsid w:val="00A85E87"/>
    <w:rsid w:val="00A86DC7"/>
    <w:rsid w:val="00A90297"/>
    <w:rsid w:val="00A905D1"/>
    <w:rsid w:val="00A9061D"/>
    <w:rsid w:val="00A90B3D"/>
    <w:rsid w:val="00A914D0"/>
    <w:rsid w:val="00A914E2"/>
    <w:rsid w:val="00A91B76"/>
    <w:rsid w:val="00A91BCE"/>
    <w:rsid w:val="00A9214B"/>
    <w:rsid w:val="00A925BA"/>
    <w:rsid w:val="00A9262B"/>
    <w:rsid w:val="00A93925"/>
    <w:rsid w:val="00A939B4"/>
    <w:rsid w:val="00A93B14"/>
    <w:rsid w:val="00A93D71"/>
    <w:rsid w:val="00A93E78"/>
    <w:rsid w:val="00A9403E"/>
    <w:rsid w:val="00A9512C"/>
    <w:rsid w:val="00A95676"/>
    <w:rsid w:val="00A95877"/>
    <w:rsid w:val="00A95C58"/>
    <w:rsid w:val="00A95C7E"/>
    <w:rsid w:val="00A95FE6"/>
    <w:rsid w:val="00A97473"/>
    <w:rsid w:val="00A97B78"/>
    <w:rsid w:val="00A97D17"/>
    <w:rsid w:val="00AA0815"/>
    <w:rsid w:val="00AA0D32"/>
    <w:rsid w:val="00AA0F64"/>
    <w:rsid w:val="00AA1266"/>
    <w:rsid w:val="00AA1FFE"/>
    <w:rsid w:val="00AA22B8"/>
    <w:rsid w:val="00AA305A"/>
    <w:rsid w:val="00AA31B1"/>
    <w:rsid w:val="00AA3CE7"/>
    <w:rsid w:val="00AA46E9"/>
    <w:rsid w:val="00AA4AE1"/>
    <w:rsid w:val="00AA5826"/>
    <w:rsid w:val="00AA586D"/>
    <w:rsid w:val="00AA5ED9"/>
    <w:rsid w:val="00AA620C"/>
    <w:rsid w:val="00AA6899"/>
    <w:rsid w:val="00AA6C79"/>
    <w:rsid w:val="00AA7305"/>
    <w:rsid w:val="00AA7C6B"/>
    <w:rsid w:val="00AA7D07"/>
    <w:rsid w:val="00AB047C"/>
    <w:rsid w:val="00AB08E6"/>
    <w:rsid w:val="00AB0B34"/>
    <w:rsid w:val="00AB1DBA"/>
    <w:rsid w:val="00AB207B"/>
    <w:rsid w:val="00AB20B1"/>
    <w:rsid w:val="00AB29F9"/>
    <w:rsid w:val="00AB2B31"/>
    <w:rsid w:val="00AB3340"/>
    <w:rsid w:val="00AB3BFA"/>
    <w:rsid w:val="00AB3CE4"/>
    <w:rsid w:val="00AB459C"/>
    <w:rsid w:val="00AB47BC"/>
    <w:rsid w:val="00AB47CE"/>
    <w:rsid w:val="00AB4CF2"/>
    <w:rsid w:val="00AB4E67"/>
    <w:rsid w:val="00AB5404"/>
    <w:rsid w:val="00AB587D"/>
    <w:rsid w:val="00AB5D63"/>
    <w:rsid w:val="00AB67E7"/>
    <w:rsid w:val="00AB6AE4"/>
    <w:rsid w:val="00AB6E61"/>
    <w:rsid w:val="00AB738B"/>
    <w:rsid w:val="00AB75B6"/>
    <w:rsid w:val="00AC1E78"/>
    <w:rsid w:val="00AC1F81"/>
    <w:rsid w:val="00AC2083"/>
    <w:rsid w:val="00AC2731"/>
    <w:rsid w:val="00AC29B9"/>
    <w:rsid w:val="00AC2B28"/>
    <w:rsid w:val="00AC2CA2"/>
    <w:rsid w:val="00AC2E98"/>
    <w:rsid w:val="00AC398A"/>
    <w:rsid w:val="00AC4524"/>
    <w:rsid w:val="00AC6A88"/>
    <w:rsid w:val="00AC7485"/>
    <w:rsid w:val="00AC7A58"/>
    <w:rsid w:val="00AC7E27"/>
    <w:rsid w:val="00AD024F"/>
    <w:rsid w:val="00AD0352"/>
    <w:rsid w:val="00AD0410"/>
    <w:rsid w:val="00AD0800"/>
    <w:rsid w:val="00AD0976"/>
    <w:rsid w:val="00AD10CE"/>
    <w:rsid w:val="00AD1506"/>
    <w:rsid w:val="00AD23D8"/>
    <w:rsid w:val="00AD2506"/>
    <w:rsid w:val="00AD2BC1"/>
    <w:rsid w:val="00AD2C48"/>
    <w:rsid w:val="00AD366E"/>
    <w:rsid w:val="00AD370A"/>
    <w:rsid w:val="00AD3760"/>
    <w:rsid w:val="00AD3D5B"/>
    <w:rsid w:val="00AD463C"/>
    <w:rsid w:val="00AD4AFB"/>
    <w:rsid w:val="00AD50E6"/>
    <w:rsid w:val="00AD54C8"/>
    <w:rsid w:val="00AD562D"/>
    <w:rsid w:val="00AD5660"/>
    <w:rsid w:val="00AD5743"/>
    <w:rsid w:val="00AD647D"/>
    <w:rsid w:val="00AD6911"/>
    <w:rsid w:val="00AD6DAB"/>
    <w:rsid w:val="00AD7798"/>
    <w:rsid w:val="00AD7BD4"/>
    <w:rsid w:val="00AD7D52"/>
    <w:rsid w:val="00AD7E0F"/>
    <w:rsid w:val="00AE042B"/>
    <w:rsid w:val="00AE07C6"/>
    <w:rsid w:val="00AE0D16"/>
    <w:rsid w:val="00AE1D90"/>
    <w:rsid w:val="00AE22B4"/>
    <w:rsid w:val="00AE2C07"/>
    <w:rsid w:val="00AE3AAF"/>
    <w:rsid w:val="00AE4A7C"/>
    <w:rsid w:val="00AE5118"/>
    <w:rsid w:val="00AE5312"/>
    <w:rsid w:val="00AE546D"/>
    <w:rsid w:val="00AE5869"/>
    <w:rsid w:val="00AE5F81"/>
    <w:rsid w:val="00AE60ED"/>
    <w:rsid w:val="00AE6A15"/>
    <w:rsid w:val="00AE6BF0"/>
    <w:rsid w:val="00AE6EBD"/>
    <w:rsid w:val="00AE6EDD"/>
    <w:rsid w:val="00AE72CA"/>
    <w:rsid w:val="00AE75CD"/>
    <w:rsid w:val="00AE7A2C"/>
    <w:rsid w:val="00AF0FD9"/>
    <w:rsid w:val="00AF1246"/>
    <w:rsid w:val="00AF188C"/>
    <w:rsid w:val="00AF1B23"/>
    <w:rsid w:val="00AF20E8"/>
    <w:rsid w:val="00AF21F7"/>
    <w:rsid w:val="00AF2616"/>
    <w:rsid w:val="00AF26A0"/>
    <w:rsid w:val="00AF2DD9"/>
    <w:rsid w:val="00AF337C"/>
    <w:rsid w:val="00AF37C5"/>
    <w:rsid w:val="00AF394C"/>
    <w:rsid w:val="00AF4287"/>
    <w:rsid w:val="00AF4375"/>
    <w:rsid w:val="00AF4A9E"/>
    <w:rsid w:val="00AF4B13"/>
    <w:rsid w:val="00AF4EDF"/>
    <w:rsid w:val="00AF6285"/>
    <w:rsid w:val="00AF668A"/>
    <w:rsid w:val="00AF6B97"/>
    <w:rsid w:val="00AF70B8"/>
    <w:rsid w:val="00AF73C6"/>
    <w:rsid w:val="00AF75F7"/>
    <w:rsid w:val="00AF7D0B"/>
    <w:rsid w:val="00B00136"/>
    <w:rsid w:val="00B001FC"/>
    <w:rsid w:val="00B02871"/>
    <w:rsid w:val="00B0299A"/>
    <w:rsid w:val="00B02EEC"/>
    <w:rsid w:val="00B032AE"/>
    <w:rsid w:val="00B034CE"/>
    <w:rsid w:val="00B03990"/>
    <w:rsid w:val="00B03A2F"/>
    <w:rsid w:val="00B03B40"/>
    <w:rsid w:val="00B03D47"/>
    <w:rsid w:val="00B040E8"/>
    <w:rsid w:val="00B04AF6"/>
    <w:rsid w:val="00B0511D"/>
    <w:rsid w:val="00B05298"/>
    <w:rsid w:val="00B05BB6"/>
    <w:rsid w:val="00B0623D"/>
    <w:rsid w:val="00B07649"/>
    <w:rsid w:val="00B07C0D"/>
    <w:rsid w:val="00B07F2A"/>
    <w:rsid w:val="00B10650"/>
    <w:rsid w:val="00B10CC4"/>
    <w:rsid w:val="00B11393"/>
    <w:rsid w:val="00B113AD"/>
    <w:rsid w:val="00B11A3B"/>
    <w:rsid w:val="00B12235"/>
    <w:rsid w:val="00B1260E"/>
    <w:rsid w:val="00B128A8"/>
    <w:rsid w:val="00B12A0F"/>
    <w:rsid w:val="00B12C01"/>
    <w:rsid w:val="00B13342"/>
    <w:rsid w:val="00B13592"/>
    <w:rsid w:val="00B14405"/>
    <w:rsid w:val="00B14D49"/>
    <w:rsid w:val="00B15850"/>
    <w:rsid w:val="00B158E3"/>
    <w:rsid w:val="00B159B2"/>
    <w:rsid w:val="00B16389"/>
    <w:rsid w:val="00B163FD"/>
    <w:rsid w:val="00B16B91"/>
    <w:rsid w:val="00B16FC2"/>
    <w:rsid w:val="00B175AA"/>
    <w:rsid w:val="00B1762C"/>
    <w:rsid w:val="00B179BB"/>
    <w:rsid w:val="00B17C9F"/>
    <w:rsid w:val="00B17FB6"/>
    <w:rsid w:val="00B200C2"/>
    <w:rsid w:val="00B20275"/>
    <w:rsid w:val="00B2086E"/>
    <w:rsid w:val="00B20DCF"/>
    <w:rsid w:val="00B20E6C"/>
    <w:rsid w:val="00B21A62"/>
    <w:rsid w:val="00B21D27"/>
    <w:rsid w:val="00B22843"/>
    <w:rsid w:val="00B22D66"/>
    <w:rsid w:val="00B2370E"/>
    <w:rsid w:val="00B23E72"/>
    <w:rsid w:val="00B2444C"/>
    <w:rsid w:val="00B244D6"/>
    <w:rsid w:val="00B2456F"/>
    <w:rsid w:val="00B245F1"/>
    <w:rsid w:val="00B24A40"/>
    <w:rsid w:val="00B251C9"/>
    <w:rsid w:val="00B2520B"/>
    <w:rsid w:val="00B25317"/>
    <w:rsid w:val="00B2575E"/>
    <w:rsid w:val="00B25D7B"/>
    <w:rsid w:val="00B25EC8"/>
    <w:rsid w:val="00B25F6C"/>
    <w:rsid w:val="00B26C6E"/>
    <w:rsid w:val="00B276EB"/>
    <w:rsid w:val="00B2780C"/>
    <w:rsid w:val="00B27878"/>
    <w:rsid w:val="00B27E31"/>
    <w:rsid w:val="00B27FAC"/>
    <w:rsid w:val="00B30AC1"/>
    <w:rsid w:val="00B30C9B"/>
    <w:rsid w:val="00B31A0A"/>
    <w:rsid w:val="00B3232E"/>
    <w:rsid w:val="00B32607"/>
    <w:rsid w:val="00B326E9"/>
    <w:rsid w:val="00B3334C"/>
    <w:rsid w:val="00B33567"/>
    <w:rsid w:val="00B337EC"/>
    <w:rsid w:val="00B339F1"/>
    <w:rsid w:val="00B33DBE"/>
    <w:rsid w:val="00B34037"/>
    <w:rsid w:val="00B3403D"/>
    <w:rsid w:val="00B34460"/>
    <w:rsid w:val="00B3456E"/>
    <w:rsid w:val="00B34585"/>
    <w:rsid w:val="00B34A11"/>
    <w:rsid w:val="00B357AE"/>
    <w:rsid w:val="00B35D8D"/>
    <w:rsid w:val="00B35DC0"/>
    <w:rsid w:val="00B36003"/>
    <w:rsid w:val="00B3633E"/>
    <w:rsid w:val="00B370EB"/>
    <w:rsid w:val="00B374C0"/>
    <w:rsid w:val="00B37669"/>
    <w:rsid w:val="00B37840"/>
    <w:rsid w:val="00B37C78"/>
    <w:rsid w:val="00B402DC"/>
    <w:rsid w:val="00B40AD8"/>
    <w:rsid w:val="00B40C23"/>
    <w:rsid w:val="00B40C8A"/>
    <w:rsid w:val="00B40D8E"/>
    <w:rsid w:val="00B41889"/>
    <w:rsid w:val="00B41FB6"/>
    <w:rsid w:val="00B427F1"/>
    <w:rsid w:val="00B4291D"/>
    <w:rsid w:val="00B430EA"/>
    <w:rsid w:val="00B431F5"/>
    <w:rsid w:val="00B437E0"/>
    <w:rsid w:val="00B4383C"/>
    <w:rsid w:val="00B43A51"/>
    <w:rsid w:val="00B43FB2"/>
    <w:rsid w:val="00B4410E"/>
    <w:rsid w:val="00B443C5"/>
    <w:rsid w:val="00B446A3"/>
    <w:rsid w:val="00B44C79"/>
    <w:rsid w:val="00B44E30"/>
    <w:rsid w:val="00B45472"/>
    <w:rsid w:val="00B45966"/>
    <w:rsid w:val="00B45C76"/>
    <w:rsid w:val="00B461B5"/>
    <w:rsid w:val="00B468BF"/>
    <w:rsid w:val="00B46B4F"/>
    <w:rsid w:val="00B46F27"/>
    <w:rsid w:val="00B471D3"/>
    <w:rsid w:val="00B4781F"/>
    <w:rsid w:val="00B50CBC"/>
    <w:rsid w:val="00B51AE6"/>
    <w:rsid w:val="00B51C51"/>
    <w:rsid w:val="00B52287"/>
    <w:rsid w:val="00B526CB"/>
    <w:rsid w:val="00B539CD"/>
    <w:rsid w:val="00B53B93"/>
    <w:rsid w:val="00B541D0"/>
    <w:rsid w:val="00B543E0"/>
    <w:rsid w:val="00B5468C"/>
    <w:rsid w:val="00B5488E"/>
    <w:rsid w:val="00B553EC"/>
    <w:rsid w:val="00B55680"/>
    <w:rsid w:val="00B562DA"/>
    <w:rsid w:val="00B56F18"/>
    <w:rsid w:val="00B570F7"/>
    <w:rsid w:val="00B57D09"/>
    <w:rsid w:val="00B57EEE"/>
    <w:rsid w:val="00B602B0"/>
    <w:rsid w:val="00B604E2"/>
    <w:rsid w:val="00B6084C"/>
    <w:rsid w:val="00B60CCE"/>
    <w:rsid w:val="00B6180C"/>
    <w:rsid w:val="00B61872"/>
    <w:rsid w:val="00B61ACE"/>
    <w:rsid w:val="00B61FA0"/>
    <w:rsid w:val="00B6223D"/>
    <w:rsid w:val="00B6275F"/>
    <w:rsid w:val="00B6287D"/>
    <w:rsid w:val="00B62AE6"/>
    <w:rsid w:val="00B6354B"/>
    <w:rsid w:val="00B638BB"/>
    <w:rsid w:val="00B63B72"/>
    <w:rsid w:val="00B63D41"/>
    <w:rsid w:val="00B644AF"/>
    <w:rsid w:val="00B65050"/>
    <w:rsid w:val="00B651BB"/>
    <w:rsid w:val="00B65747"/>
    <w:rsid w:val="00B65B3D"/>
    <w:rsid w:val="00B65E4B"/>
    <w:rsid w:val="00B667F0"/>
    <w:rsid w:val="00B66F9D"/>
    <w:rsid w:val="00B67100"/>
    <w:rsid w:val="00B672F5"/>
    <w:rsid w:val="00B67546"/>
    <w:rsid w:val="00B679E3"/>
    <w:rsid w:val="00B704BD"/>
    <w:rsid w:val="00B7062E"/>
    <w:rsid w:val="00B7072B"/>
    <w:rsid w:val="00B70D66"/>
    <w:rsid w:val="00B71087"/>
    <w:rsid w:val="00B7176B"/>
    <w:rsid w:val="00B718C9"/>
    <w:rsid w:val="00B72176"/>
    <w:rsid w:val="00B723E0"/>
    <w:rsid w:val="00B725F0"/>
    <w:rsid w:val="00B7274A"/>
    <w:rsid w:val="00B727FD"/>
    <w:rsid w:val="00B72924"/>
    <w:rsid w:val="00B72FF7"/>
    <w:rsid w:val="00B733AD"/>
    <w:rsid w:val="00B73BF5"/>
    <w:rsid w:val="00B73D82"/>
    <w:rsid w:val="00B741EC"/>
    <w:rsid w:val="00B74D15"/>
    <w:rsid w:val="00B74E77"/>
    <w:rsid w:val="00B757B9"/>
    <w:rsid w:val="00B75B36"/>
    <w:rsid w:val="00B75D73"/>
    <w:rsid w:val="00B77544"/>
    <w:rsid w:val="00B77B2E"/>
    <w:rsid w:val="00B803EE"/>
    <w:rsid w:val="00B803F5"/>
    <w:rsid w:val="00B815B6"/>
    <w:rsid w:val="00B821D4"/>
    <w:rsid w:val="00B8223F"/>
    <w:rsid w:val="00B8284D"/>
    <w:rsid w:val="00B82C21"/>
    <w:rsid w:val="00B82C2D"/>
    <w:rsid w:val="00B8353B"/>
    <w:rsid w:val="00B841D4"/>
    <w:rsid w:val="00B844CE"/>
    <w:rsid w:val="00B84685"/>
    <w:rsid w:val="00B84CC4"/>
    <w:rsid w:val="00B8521B"/>
    <w:rsid w:val="00B85640"/>
    <w:rsid w:val="00B8583C"/>
    <w:rsid w:val="00B86168"/>
    <w:rsid w:val="00B86524"/>
    <w:rsid w:val="00B868A6"/>
    <w:rsid w:val="00B8782F"/>
    <w:rsid w:val="00B90087"/>
    <w:rsid w:val="00B908C8"/>
    <w:rsid w:val="00B909E5"/>
    <w:rsid w:val="00B90DB7"/>
    <w:rsid w:val="00B9148D"/>
    <w:rsid w:val="00B91B01"/>
    <w:rsid w:val="00B91FC2"/>
    <w:rsid w:val="00B92CED"/>
    <w:rsid w:val="00B93126"/>
    <w:rsid w:val="00B935BC"/>
    <w:rsid w:val="00B9420B"/>
    <w:rsid w:val="00B9439F"/>
    <w:rsid w:val="00B9440C"/>
    <w:rsid w:val="00B945EF"/>
    <w:rsid w:val="00B95024"/>
    <w:rsid w:val="00B95031"/>
    <w:rsid w:val="00B95502"/>
    <w:rsid w:val="00B9650C"/>
    <w:rsid w:val="00B96825"/>
    <w:rsid w:val="00B96A11"/>
    <w:rsid w:val="00B96ACC"/>
    <w:rsid w:val="00B96B1F"/>
    <w:rsid w:val="00B96CF3"/>
    <w:rsid w:val="00B96D4E"/>
    <w:rsid w:val="00B97935"/>
    <w:rsid w:val="00B97E1F"/>
    <w:rsid w:val="00BA01D2"/>
    <w:rsid w:val="00BA0575"/>
    <w:rsid w:val="00BA0BE3"/>
    <w:rsid w:val="00BA0C35"/>
    <w:rsid w:val="00BA16BC"/>
    <w:rsid w:val="00BA209F"/>
    <w:rsid w:val="00BA2B45"/>
    <w:rsid w:val="00BA35C9"/>
    <w:rsid w:val="00BA36A6"/>
    <w:rsid w:val="00BA38D1"/>
    <w:rsid w:val="00BA39AA"/>
    <w:rsid w:val="00BA3DEB"/>
    <w:rsid w:val="00BA46A1"/>
    <w:rsid w:val="00BA5331"/>
    <w:rsid w:val="00BA5E01"/>
    <w:rsid w:val="00BA5FFF"/>
    <w:rsid w:val="00BA68BF"/>
    <w:rsid w:val="00BA68F1"/>
    <w:rsid w:val="00BA6F4E"/>
    <w:rsid w:val="00BA7193"/>
    <w:rsid w:val="00BA75BE"/>
    <w:rsid w:val="00BA78BC"/>
    <w:rsid w:val="00BB00DE"/>
    <w:rsid w:val="00BB0AB9"/>
    <w:rsid w:val="00BB1435"/>
    <w:rsid w:val="00BB1919"/>
    <w:rsid w:val="00BB193F"/>
    <w:rsid w:val="00BB1FBA"/>
    <w:rsid w:val="00BB2C93"/>
    <w:rsid w:val="00BB3501"/>
    <w:rsid w:val="00BB3E31"/>
    <w:rsid w:val="00BB4852"/>
    <w:rsid w:val="00BB4E08"/>
    <w:rsid w:val="00BB56A0"/>
    <w:rsid w:val="00BB5764"/>
    <w:rsid w:val="00BB5D65"/>
    <w:rsid w:val="00BB5EBC"/>
    <w:rsid w:val="00BB6120"/>
    <w:rsid w:val="00BB6846"/>
    <w:rsid w:val="00BB6A1A"/>
    <w:rsid w:val="00BB6BA7"/>
    <w:rsid w:val="00BB701B"/>
    <w:rsid w:val="00BB7505"/>
    <w:rsid w:val="00BB7668"/>
    <w:rsid w:val="00BB7AC1"/>
    <w:rsid w:val="00BB7BC0"/>
    <w:rsid w:val="00BB7F22"/>
    <w:rsid w:val="00BC056E"/>
    <w:rsid w:val="00BC0A9B"/>
    <w:rsid w:val="00BC0DC7"/>
    <w:rsid w:val="00BC0E58"/>
    <w:rsid w:val="00BC1706"/>
    <w:rsid w:val="00BC1D22"/>
    <w:rsid w:val="00BC215A"/>
    <w:rsid w:val="00BC24C1"/>
    <w:rsid w:val="00BC2D7B"/>
    <w:rsid w:val="00BC2E0C"/>
    <w:rsid w:val="00BC3311"/>
    <w:rsid w:val="00BC3397"/>
    <w:rsid w:val="00BC393F"/>
    <w:rsid w:val="00BC4109"/>
    <w:rsid w:val="00BC440C"/>
    <w:rsid w:val="00BC4596"/>
    <w:rsid w:val="00BC536A"/>
    <w:rsid w:val="00BC5444"/>
    <w:rsid w:val="00BC5953"/>
    <w:rsid w:val="00BC5F1B"/>
    <w:rsid w:val="00BC6355"/>
    <w:rsid w:val="00BC647A"/>
    <w:rsid w:val="00BC6552"/>
    <w:rsid w:val="00BC6607"/>
    <w:rsid w:val="00BC6F07"/>
    <w:rsid w:val="00BC71D9"/>
    <w:rsid w:val="00BC7432"/>
    <w:rsid w:val="00BC7946"/>
    <w:rsid w:val="00BC7B4A"/>
    <w:rsid w:val="00BC7C52"/>
    <w:rsid w:val="00BC7F11"/>
    <w:rsid w:val="00BD01A5"/>
    <w:rsid w:val="00BD062B"/>
    <w:rsid w:val="00BD0DB3"/>
    <w:rsid w:val="00BD0FB1"/>
    <w:rsid w:val="00BD18AA"/>
    <w:rsid w:val="00BD1DEF"/>
    <w:rsid w:val="00BD220D"/>
    <w:rsid w:val="00BD24B0"/>
    <w:rsid w:val="00BD27D2"/>
    <w:rsid w:val="00BD2C3B"/>
    <w:rsid w:val="00BD2CA3"/>
    <w:rsid w:val="00BD2DD2"/>
    <w:rsid w:val="00BD419B"/>
    <w:rsid w:val="00BD421A"/>
    <w:rsid w:val="00BD4629"/>
    <w:rsid w:val="00BD49CA"/>
    <w:rsid w:val="00BD5026"/>
    <w:rsid w:val="00BD562F"/>
    <w:rsid w:val="00BD63DD"/>
    <w:rsid w:val="00BD63F5"/>
    <w:rsid w:val="00BD6A5D"/>
    <w:rsid w:val="00BD6CC0"/>
    <w:rsid w:val="00BD701F"/>
    <w:rsid w:val="00BD7452"/>
    <w:rsid w:val="00BD76B1"/>
    <w:rsid w:val="00BD7933"/>
    <w:rsid w:val="00BE009F"/>
    <w:rsid w:val="00BE010E"/>
    <w:rsid w:val="00BE04CE"/>
    <w:rsid w:val="00BE0ECD"/>
    <w:rsid w:val="00BE10D0"/>
    <w:rsid w:val="00BE1EB6"/>
    <w:rsid w:val="00BE239D"/>
    <w:rsid w:val="00BE2AB3"/>
    <w:rsid w:val="00BE3227"/>
    <w:rsid w:val="00BE3534"/>
    <w:rsid w:val="00BE36A2"/>
    <w:rsid w:val="00BE388B"/>
    <w:rsid w:val="00BE3BBB"/>
    <w:rsid w:val="00BE3DF4"/>
    <w:rsid w:val="00BE4DAE"/>
    <w:rsid w:val="00BE5262"/>
    <w:rsid w:val="00BE634E"/>
    <w:rsid w:val="00BE65D6"/>
    <w:rsid w:val="00BE66AE"/>
    <w:rsid w:val="00BF05CC"/>
    <w:rsid w:val="00BF0A1D"/>
    <w:rsid w:val="00BF0AA3"/>
    <w:rsid w:val="00BF0EBC"/>
    <w:rsid w:val="00BF1B61"/>
    <w:rsid w:val="00BF1FC3"/>
    <w:rsid w:val="00BF2832"/>
    <w:rsid w:val="00BF28BB"/>
    <w:rsid w:val="00BF29BF"/>
    <w:rsid w:val="00BF2C3C"/>
    <w:rsid w:val="00BF3153"/>
    <w:rsid w:val="00BF3357"/>
    <w:rsid w:val="00BF4407"/>
    <w:rsid w:val="00BF4AA0"/>
    <w:rsid w:val="00BF4CC9"/>
    <w:rsid w:val="00BF5324"/>
    <w:rsid w:val="00BF5395"/>
    <w:rsid w:val="00BF5936"/>
    <w:rsid w:val="00BF5D19"/>
    <w:rsid w:val="00BF5D90"/>
    <w:rsid w:val="00BF636C"/>
    <w:rsid w:val="00BF7118"/>
    <w:rsid w:val="00BF7478"/>
    <w:rsid w:val="00BF76C1"/>
    <w:rsid w:val="00C00106"/>
    <w:rsid w:val="00C00257"/>
    <w:rsid w:val="00C006BD"/>
    <w:rsid w:val="00C00E22"/>
    <w:rsid w:val="00C0105D"/>
    <w:rsid w:val="00C01D24"/>
    <w:rsid w:val="00C026FD"/>
    <w:rsid w:val="00C02F0F"/>
    <w:rsid w:val="00C04197"/>
    <w:rsid w:val="00C04300"/>
    <w:rsid w:val="00C046B8"/>
    <w:rsid w:val="00C04EC8"/>
    <w:rsid w:val="00C0531F"/>
    <w:rsid w:val="00C05B30"/>
    <w:rsid w:val="00C0613B"/>
    <w:rsid w:val="00C0651C"/>
    <w:rsid w:val="00C10028"/>
    <w:rsid w:val="00C102A9"/>
    <w:rsid w:val="00C102E7"/>
    <w:rsid w:val="00C110D6"/>
    <w:rsid w:val="00C114FF"/>
    <w:rsid w:val="00C13125"/>
    <w:rsid w:val="00C13F19"/>
    <w:rsid w:val="00C1568D"/>
    <w:rsid w:val="00C15E01"/>
    <w:rsid w:val="00C1644F"/>
    <w:rsid w:val="00C165FE"/>
    <w:rsid w:val="00C176F5"/>
    <w:rsid w:val="00C179F3"/>
    <w:rsid w:val="00C17A7F"/>
    <w:rsid w:val="00C17D43"/>
    <w:rsid w:val="00C17F95"/>
    <w:rsid w:val="00C2017A"/>
    <w:rsid w:val="00C21CD2"/>
    <w:rsid w:val="00C21D68"/>
    <w:rsid w:val="00C22150"/>
    <w:rsid w:val="00C2248F"/>
    <w:rsid w:val="00C22695"/>
    <w:rsid w:val="00C2275B"/>
    <w:rsid w:val="00C2275D"/>
    <w:rsid w:val="00C22806"/>
    <w:rsid w:val="00C22B0F"/>
    <w:rsid w:val="00C231FA"/>
    <w:rsid w:val="00C23E28"/>
    <w:rsid w:val="00C241E9"/>
    <w:rsid w:val="00C24360"/>
    <w:rsid w:val="00C243E1"/>
    <w:rsid w:val="00C24FF1"/>
    <w:rsid w:val="00C25016"/>
    <w:rsid w:val="00C2571B"/>
    <w:rsid w:val="00C25BB7"/>
    <w:rsid w:val="00C2619D"/>
    <w:rsid w:val="00C26590"/>
    <w:rsid w:val="00C2695B"/>
    <w:rsid w:val="00C2763D"/>
    <w:rsid w:val="00C30411"/>
    <w:rsid w:val="00C310E6"/>
    <w:rsid w:val="00C31265"/>
    <w:rsid w:val="00C31384"/>
    <w:rsid w:val="00C31545"/>
    <w:rsid w:val="00C32102"/>
    <w:rsid w:val="00C32BD7"/>
    <w:rsid w:val="00C32C73"/>
    <w:rsid w:val="00C334EA"/>
    <w:rsid w:val="00C3361F"/>
    <w:rsid w:val="00C3373B"/>
    <w:rsid w:val="00C33D47"/>
    <w:rsid w:val="00C3412F"/>
    <w:rsid w:val="00C343CF"/>
    <w:rsid w:val="00C34687"/>
    <w:rsid w:val="00C34AF3"/>
    <w:rsid w:val="00C34B32"/>
    <w:rsid w:val="00C35094"/>
    <w:rsid w:val="00C3527F"/>
    <w:rsid w:val="00C35286"/>
    <w:rsid w:val="00C352B3"/>
    <w:rsid w:val="00C35379"/>
    <w:rsid w:val="00C35D4F"/>
    <w:rsid w:val="00C360C7"/>
    <w:rsid w:val="00C3734A"/>
    <w:rsid w:val="00C376B7"/>
    <w:rsid w:val="00C378AD"/>
    <w:rsid w:val="00C37FBD"/>
    <w:rsid w:val="00C406D7"/>
    <w:rsid w:val="00C40C65"/>
    <w:rsid w:val="00C41455"/>
    <w:rsid w:val="00C414BA"/>
    <w:rsid w:val="00C41C75"/>
    <w:rsid w:val="00C42145"/>
    <w:rsid w:val="00C42560"/>
    <w:rsid w:val="00C425DE"/>
    <w:rsid w:val="00C44241"/>
    <w:rsid w:val="00C44F95"/>
    <w:rsid w:val="00C45333"/>
    <w:rsid w:val="00C467BC"/>
    <w:rsid w:val="00C46D71"/>
    <w:rsid w:val="00C46EAA"/>
    <w:rsid w:val="00C47251"/>
    <w:rsid w:val="00C5002D"/>
    <w:rsid w:val="00C506D9"/>
    <w:rsid w:val="00C50C7C"/>
    <w:rsid w:val="00C5182F"/>
    <w:rsid w:val="00C532BF"/>
    <w:rsid w:val="00C53B43"/>
    <w:rsid w:val="00C53C31"/>
    <w:rsid w:val="00C53D11"/>
    <w:rsid w:val="00C549D3"/>
    <w:rsid w:val="00C54C18"/>
    <w:rsid w:val="00C553DB"/>
    <w:rsid w:val="00C55705"/>
    <w:rsid w:val="00C55D1F"/>
    <w:rsid w:val="00C55DC4"/>
    <w:rsid w:val="00C55F72"/>
    <w:rsid w:val="00C5632D"/>
    <w:rsid w:val="00C564A2"/>
    <w:rsid w:val="00C56769"/>
    <w:rsid w:val="00C568B7"/>
    <w:rsid w:val="00C568FD"/>
    <w:rsid w:val="00C56A12"/>
    <w:rsid w:val="00C56A60"/>
    <w:rsid w:val="00C5720E"/>
    <w:rsid w:val="00C57553"/>
    <w:rsid w:val="00C5778C"/>
    <w:rsid w:val="00C577EA"/>
    <w:rsid w:val="00C6039E"/>
    <w:rsid w:val="00C6151A"/>
    <w:rsid w:val="00C621E6"/>
    <w:rsid w:val="00C628D8"/>
    <w:rsid w:val="00C628E9"/>
    <w:rsid w:val="00C631B8"/>
    <w:rsid w:val="00C6365E"/>
    <w:rsid w:val="00C63994"/>
    <w:rsid w:val="00C63E85"/>
    <w:rsid w:val="00C640B1"/>
    <w:rsid w:val="00C649F0"/>
    <w:rsid w:val="00C64AB7"/>
    <w:rsid w:val="00C651FB"/>
    <w:rsid w:val="00C653B1"/>
    <w:rsid w:val="00C65BA7"/>
    <w:rsid w:val="00C65BA8"/>
    <w:rsid w:val="00C65C42"/>
    <w:rsid w:val="00C66E0D"/>
    <w:rsid w:val="00C6713B"/>
    <w:rsid w:val="00C67282"/>
    <w:rsid w:val="00C674FB"/>
    <w:rsid w:val="00C67861"/>
    <w:rsid w:val="00C7024F"/>
    <w:rsid w:val="00C70430"/>
    <w:rsid w:val="00C707DD"/>
    <w:rsid w:val="00C70EBE"/>
    <w:rsid w:val="00C71886"/>
    <w:rsid w:val="00C71956"/>
    <w:rsid w:val="00C71BA7"/>
    <w:rsid w:val="00C71E05"/>
    <w:rsid w:val="00C727CA"/>
    <w:rsid w:val="00C72FC8"/>
    <w:rsid w:val="00C72FDD"/>
    <w:rsid w:val="00C745B8"/>
    <w:rsid w:val="00C748A4"/>
    <w:rsid w:val="00C74C3D"/>
    <w:rsid w:val="00C751DA"/>
    <w:rsid w:val="00C753F8"/>
    <w:rsid w:val="00C75695"/>
    <w:rsid w:val="00C75ACF"/>
    <w:rsid w:val="00C75C47"/>
    <w:rsid w:val="00C7621B"/>
    <w:rsid w:val="00C770F2"/>
    <w:rsid w:val="00C770F9"/>
    <w:rsid w:val="00C774F9"/>
    <w:rsid w:val="00C77721"/>
    <w:rsid w:val="00C77AC2"/>
    <w:rsid w:val="00C800FC"/>
    <w:rsid w:val="00C80498"/>
    <w:rsid w:val="00C80692"/>
    <w:rsid w:val="00C806C2"/>
    <w:rsid w:val="00C8140B"/>
    <w:rsid w:val="00C81627"/>
    <w:rsid w:val="00C820BE"/>
    <w:rsid w:val="00C8218A"/>
    <w:rsid w:val="00C82AAD"/>
    <w:rsid w:val="00C82B82"/>
    <w:rsid w:val="00C831EC"/>
    <w:rsid w:val="00C842F8"/>
    <w:rsid w:val="00C84AA4"/>
    <w:rsid w:val="00C84DFF"/>
    <w:rsid w:val="00C8502B"/>
    <w:rsid w:val="00C852D8"/>
    <w:rsid w:val="00C8651A"/>
    <w:rsid w:val="00C8687C"/>
    <w:rsid w:val="00C86B24"/>
    <w:rsid w:val="00C86C16"/>
    <w:rsid w:val="00C86C61"/>
    <w:rsid w:val="00C86FBA"/>
    <w:rsid w:val="00C87193"/>
    <w:rsid w:val="00C87204"/>
    <w:rsid w:val="00C87354"/>
    <w:rsid w:val="00C87399"/>
    <w:rsid w:val="00C8743F"/>
    <w:rsid w:val="00C87684"/>
    <w:rsid w:val="00C876D1"/>
    <w:rsid w:val="00C8773E"/>
    <w:rsid w:val="00C877C0"/>
    <w:rsid w:val="00C87C03"/>
    <w:rsid w:val="00C87CA7"/>
    <w:rsid w:val="00C904E7"/>
    <w:rsid w:val="00C9068F"/>
    <w:rsid w:val="00C90DCD"/>
    <w:rsid w:val="00C91273"/>
    <w:rsid w:val="00C91E22"/>
    <w:rsid w:val="00C92416"/>
    <w:rsid w:val="00C92968"/>
    <w:rsid w:val="00C92D6B"/>
    <w:rsid w:val="00C93176"/>
    <w:rsid w:val="00C93A85"/>
    <w:rsid w:val="00C94018"/>
    <w:rsid w:val="00C94122"/>
    <w:rsid w:val="00C943A3"/>
    <w:rsid w:val="00C94825"/>
    <w:rsid w:val="00C94A80"/>
    <w:rsid w:val="00C95867"/>
    <w:rsid w:val="00C95B75"/>
    <w:rsid w:val="00C95C19"/>
    <w:rsid w:val="00C95FC8"/>
    <w:rsid w:val="00C965E0"/>
    <w:rsid w:val="00C96A5F"/>
    <w:rsid w:val="00C96BFF"/>
    <w:rsid w:val="00C96DF2"/>
    <w:rsid w:val="00C96FA1"/>
    <w:rsid w:val="00C97256"/>
    <w:rsid w:val="00C976B2"/>
    <w:rsid w:val="00C97A95"/>
    <w:rsid w:val="00C97DA8"/>
    <w:rsid w:val="00C97E21"/>
    <w:rsid w:val="00CA0E78"/>
    <w:rsid w:val="00CA0F5D"/>
    <w:rsid w:val="00CA121B"/>
    <w:rsid w:val="00CA1A09"/>
    <w:rsid w:val="00CA1E63"/>
    <w:rsid w:val="00CA2109"/>
    <w:rsid w:val="00CA2850"/>
    <w:rsid w:val="00CA2B5A"/>
    <w:rsid w:val="00CA35AF"/>
    <w:rsid w:val="00CA38BE"/>
    <w:rsid w:val="00CA3AD9"/>
    <w:rsid w:val="00CA3E53"/>
    <w:rsid w:val="00CA4BAC"/>
    <w:rsid w:val="00CA5004"/>
    <w:rsid w:val="00CA53F6"/>
    <w:rsid w:val="00CA541E"/>
    <w:rsid w:val="00CA544B"/>
    <w:rsid w:val="00CA551D"/>
    <w:rsid w:val="00CA573F"/>
    <w:rsid w:val="00CA5B49"/>
    <w:rsid w:val="00CA5B65"/>
    <w:rsid w:val="00CA5CC9"/>
    <w:rsid w:val="00CA5E34"/>
    <w:rsid w:val="00CA6EB7"/>
    <w:rsid w:val="00CA7C5A"/>
    <w:rsid w:val="00CA7CBF"/>
    <w:rsid w:val="00CB0403"/>
    <w:rsid w:val="00CB0482"/>
    <w:rsid w:val="00CB114B"/>
    <w:rsid w:val="00CB1354"/>
    <w:rsid w:val="00CB1691"/>
    <w:rsid w:val="00CB16ED"/>
    <w:rsid w:val="00CB177A"/>
    <w:rsid w:val="00CB1D01"/>
    <w:rsid w:val="00CB3173"/>
    <w:rsid w:val="00CB3CE5"/>
    <w:rsid w:val="00CB3E38"/>
    <w:rsid w:val="00CB3FC0"/>
    <w:rsid w:val="00CB407D"/>
    <w:rsid w:val="00CB44FE"/>
    <w:rsid w:val="00CB47F4"/>
    <w:rsid w:val="00CB4AF0"/>
    <w:rsid w:val="00CB50EE"/>
    <w:rsid w:val="00CB6A25"/>
    <w:rsid w:val="00CB6A9B"/>
    <w:rsid w:val="00CB6B10"/>
    <w:rsid w:val="00CB6FD1"/>
    <w:rsid w:val="00CB75BD"/>
    <w:rsid w:val="00CC03AD"/>
    <w:rsid w:val="00CC0672"/>
    <w:rsid w:val="00CC10D5"/>
    <w:rsid w:val="00CC1A64"/>
    <w:rsid w:val="00CC208A"/>
    <w:rsid w:val="00CC2307"/>
    <w:rsid w:val="00CC2A2E"/>
    <w:rsid w:val="00CC3279"/>
    <w:rsid w:val="00CC3CAB"/>
    <w:rsid w:val="00CC3CEF"/>
    <w:rsid w:val="00CC3E5E"/>
    <w:rsid w:val="00CC4268"/>
    <w:rsid w:val="00CC4B62"/>
    <w:rsid w:val="00CC4D16"/>
    <w:rsid w:val="00CC4E7B"/>
    <w:rsid w:val="00CC524C"/>
    <w:rsid w:val="00CC5459"/>
    <w:rsid w:val="00CC5655"/>
    <w:rsid w:val="00CC62AB"/>
    <w:rsid w:val="00CC6613"/>
    <w:rsid w:val="00CC695D"/>
    <w:rsid w:val="00CC6C11"/>
    <w:rsid w:val="00CC7186"/>
    <w:rsid w:val="00CC7FFA"/>
    <w:rsid w:val="00CD03AC"/>
    <w:rsid w:val="00CD079A"/>
    <w:rsid w:val="00CD0AE9"/>
    <w:rsid w:val="00CD103C"/>
    <w:rsid w:val="00CD1574"/>
    <w:rsid w:val="00CD163C"/>
    <w:rsid w:val="00CD1985"/>
    <w:rsid w:val="00CD1C06"/>
    <w:rsid w:val="00CD1C08"/>
    <w:rsid w:val="00CD22DE"/>
    <w:rsid w:val="00CD27F0"/>
    <w:rsid w:val="00CD2B28"/>
    <w:rsid w:val="00CD301C"/>
    <w:rsid w:val="00CD3132"/>
    <w:rsid w:val="00CD33D5"/>
    <w:rsid w:val="00CD3AB7"/>
    <w:rsid w:val="00CD401D"/>
    <w:rsid w:val="00CD4235"/>
    <w:rsid w:val="00CD4853"/>
    <w:rsid w:val="00CD4D79"/>
    <w:rsid w:val="00CD4FAE"/>
    <w:rsid w:val="00CD52C7"/>
    <w:rsid w:val="00CD598E"/>
    <w:rsid w:val="00CD60C8"/>
    <w:rsid w:val="00CD6C5B"/>
    <w:rsid w:val="00CD6C8D"/>
    <w:rsid w:val="00CD7218"/>
    <w:rsid w:val="00CD742B"/>
    <w:rsid w:val="00CD78F3"/>
    <w:rsid w:val="00CE07B6"/>
    <w:rsid w:val="00CE088D"/>
    <w:rsid w:val="00CE0BD7"/>
    <w:rsid w:val="00CE0C6A"/>
    <w:rsid w:val="00CE125D"/>
    <w:rsid w:val="00CE2CF7"/>
    <w:rsid w:val="00CE3A86"/>
    <w:rsid w:val="00CE3E94"/>
    <w:rsid w:val="00CE4028"/>
    <w:rsid w:val="00CE44A3"/>
    <w:rsid w:val="00CE46D5"/>
    <w:rsid w:val="00CE49BA"/>
    <w:rsid w:val="00CE4D11"/>
    <w:rsid w:val="00CE53B8"/>
    <w:rsid w:val="00CE59F1"/>
    <w:rsid w:val="00CE74FA"/>
    <w:rsid w:val="00CE757B"/>
    <w:rsid w:val="00CE76B7"/>
    <w:rsid w:val="00CE7D6A"/>
    <w:rsid w:val="00CE7F27"/>
    <w:rsid w:val="00CF05B1"/>
    <w:rsid w:val="00CF0B49"/>
    <w:rsid w:val="00CF0B8B"/>
    <w:rsid w:val="00CF102F"/>
    <w:rsid w:val="00CF16F7"/>
    <w:rsid w:val="00CF1AF9"/>
    <w:rsid w:val="00CF1BE3"/>
    <w:rsid w:val="00CF1CA4"/>
    <w:rsid w:val="00CF1F72"/>
    <w:rsid w:val="00CF232D"/>
    <w:rsid w:val="00CF3603"/>
    <w:rsid w:val="00CF395F"/>
    <w:rsid w:val="00CF4268"/>
    <w:rsid w:val="00CF4C2A"/>
    <w:rsid w:val="00CF4E97"/>
    <w:rsid w:val="00CF51CE"/>
    <w:rsid w:val="00CF574D"/>
    <w:rsid w:val="00CF6A64"/>
    <w:rsid w:val="00CF71D8"/>
    <w:rsid w:val="00CF7A45"/>
    <w:rsid w:val="00CF7CD2"/>
    <w:rsid w:val="00D00C82"/>
    <w:rsid w:val="00D00DBC"/>
    <w:rsid w:val="00D0159D"/>
    <w:rsid w:val="00D01909"/>
    <w:rsid w:val="00D01A7C"/>
    <w:rsid w:val="00D02313"/>
    <w:rsid w:val="00D0318D"/>
    <w:rsid w:val="00D031B2"/>
    <w:rsid w:val="00D03C8C"/>
    <w:rsid w:val="00D03F3D"/>
    <w:rsid w:val="00D04615"/>
    <w:rsid w:val="00D04BF6"/>
    <w:rsid w:val="00D06227"/>
    <w:rsid w:val="00D06873"/>
    <w:rsid w:val="00D073FD"/>
    <w:rsid w:val="00D07E01"/>
    <w:rsid w:val="00D07F60"/>
    <w:rsid w:val="00D1018C"/>
    <w:rsid w:val="00D10311"/>
    <w:rsid w:val="00D108B3"/>
    <w:rsid w:val="00D10EBF"/>
    <w:rsid w:val="00D11274"/>
    <w:rsid w:val="00D11F79"/>
    <w:rsid w:val="00D125CD"/>
    <w:rsid w:val="00D128A0"/>
    <w:rsid w:val="00D12FA4"/>
    <w:rsid w:val="00D1391D"/>
    <w:rsid w:val="00D13CE7"/>
    <w:rsid w:val="00D141C9"/>
    <w:rsid w:val="00D1453A"/>
    <w:rsid w:val="00D148C1"/>
    <w:rsid w:val="00D14CD5"/>
    <w:rsid w:val="00D14E88"/>
    <w:rsid w:val="00D15173"/>
    <w:rsid w:val="00D169CC"/>
    <w:rsid w:val="00D16A82"/>
    <w:rsid w:val="00D1724D"/>
    <w:rsid w:val="00D178B6"/>
    <w:rsid w:val="00D17B31"/>
    <w:rsid w:val="00D201B8"/>
    <w:rsid w:val="00D20203"/>
    <w:rsid w:val="00D21A85"/>
    <w:rsid w:val="00D21A9C"/>
    <w:rsid w:val="00D223E2"/>
    <w:rsid w:val="00D22499"/>
    <w:rsid w:val="00D22545"/>
    <w:rsid w:val="00D23013"/>
    <w:rsid w:val="00D2310D"/>
    <w:rsid w:val="00D23CDE"/>
    <w:rsid w:val="00D24113"/>
    <w:rsid w:val="00D24CA9"/>
    <w:rsid w:val="00D24FFD"/>
    <w:rsid w:val="00D250E0"/>
    <w:rsid w:val="00D25195"/>
    <w:rsid w:val="00D251F7"/>
    <w:rsid w:val="00D25215"/>
    <w:rsid w:val="00D2541A"/>
    <w:rsid w:val="00D258F6"/>
    <w:rsid w:val="00D25937"/>
    <w:rsid w:val="00D25C38"/>
    <w:rsid w:val="00D26336"/>
    <w:rsid w:val="00D2685F"/>
    <w:rsid w:val="00D26A53"/>
    <w:rsid w:val="00D26B73"/>
    <w:rsid w:val="00D27321"/>
    <w:rsid w:val="00D2763D"/>
    <w:rsid w:val="00D27FCB"/>
    <w:rsid w:val="00D304CA"/>
    <w:rsid w:val="00D31077"/>
    <w:rsid w:val="00D311F9"/>
    <w:rsid w:val="00D31F01"/>
    <w:rsid w:val="00D32097"/>
    <w:rsid w:val="00D32167"/>
    <w:rsid w:val="00D32CCB"/>
    <w:rsid w:val="00D33336"/>
    <w:rsid w:val="00D333B9"/>
    <w:rsid w:val="00D33A96"/>
    <w:rsid w:val="00D33B7E"/>
    <w:rsid w:val="00D34D20"/>
    <w:rsid w:val="00D357BE"/>
    <w:rsid w:val="00D3589F"/>
    <w:rsid w:val="00D3591E"/>
    <w:rsid w:val="00D36B22"/>
    <w:rsid w:val="00D36D14"/>
    <w:rsid w:val="00D37C85"/>
    <w:rsid w:val="00D37C8B"/>
    <w:rsid w:val="00D4106C"/>
    <w:rsid w:val="00D415E1"/>
    <w:rsid w:val="00D419E7"/>
    <w:rsid w:val="00D41A24"/>
    <w:rsid w:val="00D41CB7"/>
    <w:rsid w:val="00D42516"/>
    <w:rsid w:val="00D4278D"/>
    <w:rsid w:val="00D431C5"/>
    <w:rsid w:val="00D43334"/>
    <w:rsid w:val="00D440E4"/>
    <w:rsid w:val="00D44ACE"/>
    <w:rsid w:val="00D44EB1"/>
    <w:rsid w:val="00D44FE7"/>
    <w:rsid w:val="00D4521E"/>
    <w:rsid w:val="00D4611D"/>
    <w:rsid w:val="00D46E01"/>
    <w:rsid w:val="00D46F79"/>
    <w:rsid w:val="00D478C6"/>
    <w:rsid w:val="00D47907"/>
    <w:rsid w:val="00D47CD8"/>
    <w:rsid w:val="00D50735"/>
    <w:rsid w:val="00D50A63"/>
    <w:rsid w:val="00D50D8D"/>
    <w:rsid w:val="00D51892"/>
    <w:rsid w:val="00D51B1E"/>
    <w:rsid w:val="00D51B76"/>
    <w:rsid w:val="00D51DE9"/>
    <w:rsid w:val="00D52784"/>
    <w:rsid w:val="00D527A4"/>
    <w:rsid w:val="00D529DD"/>
    <w:rsid w:val="00D52AF2"/>
    <w:rsid w:val="00D52EF5"/>
    <w:rsid w:val="00D535A3"/>
    <w:rsid w:val="00D53AD8"/>
    <w:rsid w:val="00D53CB1"/>
    <w:rsid w:val="00D54238"/>
    <w:rsid w:val="00D5487A"/>
    <w:rsid w:val="00D54883"/>
    <w:rsid w:val="00D55291"/>
    <w:rsid w:val="00D556F6"/>
    <w:rsid w:val="00D55ADD"/>
    <w:rsid w:val="00D56952"/>
    <w:rsid w:val="00D56BD6"/>
    <w:rsid w:val="00D57249"/>
    <w:rsid w:val="00D5726E"/>
    <w:rsid w:val="00D574CD"/>
    <w:rsid w:val="00D574EB"/>
    <w:rsid w:val="00D602E2"/>
    <w:rsid w:val="00D606B6"/>
    <w:rsid w:val="00D607B9"/>
    <w:rsid w:val="00D60B18"/>
    <w:rsid w:val="00D60DDD"/>
    <w:rsid w:val="00D615E3"/>
    <w:rsid w:val="00D61D58"/>
    <w:rsid w:val="00D630A8"/>
    <w:rsid w:val="00D633B9"/>
    <w:rsid w:val="00D636C4"/>
    <w:rsid w:val="00D63EB8"/>
    <w:rsid w:val="00D642CA"/>
    <w:rsid w:val="00D65AE5"/>
    <w:rsid w:val="00D65CE6"/>
    <w:rsid w:val="00D65E77"/>
    <w:rsid w:val="00D66085"/>
    <w:rsid w:val="00D66290"/>
    <w:rsid w:val="00D66614"/>
    <w:rsid w:val="00D66C91"/>
    <w:rsid w:val="00D67270"/>
    <w:rsid w:val="00D67BDF"/>
    <w:rsid w:val="00D71F96"/>
    <w:rsid w:val="00D72275"/>
    <w:rsid w:val="00D72A78"/>
    <w:rsid w:val="00D72C1E"/>
    <w:rsid w:val="00D72DB5"/>
    <w:rsid w:val="00D72FD8"/>
    <w:rsid w:val="00D73068"/>
    <w:rsid w:val="00D7396B"/>
    <w:rsid w:val="00D73CD4"/>
    <w:rsid w:val="00D745F5"/>
    <w:rsid w:val="00D747DA"/>
    <w:rsid w:val="00D748C2"/>
    <w:rsid w:val="00D76369"/>
    <w:rsid w:val="00D76D65"/>
    <w:rsid w:val="00D77107"/>
    <w:rsid w:val="00D7746B"/>
    <w:rsid w:val="00D77636"/>
    <w:rsid w:val="00D80216"/>
    <w:rsid w:val="00D80613"/>
    <w:rsid w:val="00D806E8"/>
    <w:rsid w:val="00D80F73"/>
    <w:rsid w:val="00D81244"/>
    <w:rsid w:val="00D814E7"/>
    <w:rsid w:val="00D8196F"/>
    <w:rsid w:val="00D819C4"/>
    <w:rsid w:val="00D82398"/>
    <w:rsid w:val="00D8277E"/>
    <w:rsid w:val="00D82EDD"/>
    <w:rsid w:val="00D83354"/>
    <w:rsid w:val="00D83615"/>
    <w:rsid w:val="00D83C57"/>
    <w:rsid w:val="00D83C72"/>
    <w:rsid w:val="00D83CB9"/>
    <w:rsid w:val="00D83F05"/>
    <w:rsid w:val="00D84146"/>
    <w:rsid w:val="00D8421E"/>
    <w:rsid w:val="00D84399"/>
    <w:rsid w:val="00D84CBB"/>
    <w:rsid w:val="00D8541A"/>
    <w:rsid w:val="00D86E0D"/>
    <w:rsid w:val="00D87085"/>
    <w:rsid w:val="00D872E3"/>
    <w:rsid w:val="00D8764B"/>
    <w:rsid w:val="00D87784"/>
    <w:rsid w:val="00D87AA6"/>
    <w:rsid w:val="00D87C49"/>
    <w:rsid w:val="00D90215"/>
    <w:rsid w:val="00D912CE"/>
    <w:rsid w:val="00D9133A"/>
    <w:rsid w:val="00D9169A"/>
    <w:rsid w:val="00D9250A"/>
    <w:rsid w:val="00D9265C"/>
    <w:rsid w:val="00D92962"/>
    <w:rsid w:val="00D92A2A"/>
    <w:rsid w:val="00D92E50"/>
    <w:rsid w:val="00D92F7B"/>
    <w:rsid w:val="00D93A53"/>
    <w:rsid w:val="00D93AAF"/>
    <w:rsid w:val="00D944AA"/>
    <w:rsid w:val="00D945D3"/>
    <w:rsid w:val="00D9536E"/>
    <w:rsid w:val="00D95D5E"/>
    <w:rsid w:val="00D96711"/>
    <w:rsid w:val="00D96ECE"/>
    <w:rsid w:val="00D970EE"/>
    <w:rsid w:val="00D977C0"/>
    <w:rsid w:val="00D9782A"/>
    <w:rsid w:val="00D97AE5"/>
    <w:rsid w:val="00D97DF6"/>
    <w:rsid w:val="00D97F50"/>
    <w:rsid w:val="00DA0536"/>
    <w:rsid w:val="00DA0927"/>
    <w:rsid w:val="00DA0C1D"/>
    <w:rsid w:val="00DA101F"/>
    <w:rsid w:val="00DA111A"/>
    <w:rsid w:val="00DA1D65"/>
    <w:rsid w:val="00DA2A27"/>
    <w:rsid w:val="00DA3097"/>
    <w:rsid w:val="00DA3589"/>
    <w:rsid w:val="00DA36B8"/>
    <w:rsid w:val="00DA3B37"/>
    <w:rsid w:val="00DA3F57"/>
    <w:rsid w:val="00DA4FEE"/>
    <w:rsid w:val="00DA542D"/>
    <w:rsid w:val="00DA5AD6"/>
    <w:rsid w:val="00DA5D3C"/>
    <w:rsid w:val="00DA60B9"/>
    <w:rsid w:val="00DA625B"/>
    <w:rsid w:val="00DA646B"/>
    <w:rsid w:val="00DA71A6"/>
    <w:rsid w:val="00DA7684"/>
    <w:rsid w:val="00DB0099"/>
    <w:rsid w:val="00DB00D9"/>
    <w:rsid w:val="00DB0FCD"/>
    <w:rsid w:val="00DB18F7"/>
    <w:rsid w:val="00DB1DA6"/>
    <w:rsid w:val="00DB2218"/>
    <w:rsid w:val="00DB2229"/>
    <w:rsid w:val="00DB2338"/>
    <w:rsid w:val="00DB2B0E"/>
    <w:rsid w:val="00DB3307"/>
    <w:rsid w:val="00DB3758"/>
    <w:rsid w:val="00DB3EC5"/>
    <w:rsid w:val="00DB468C"/>
    <w:rsid w:val="00DB46BF"/>
    <w:rsid w:val="00DB4882"/>
    <w:rsid w:val="00DB4E31"/>
    <w:rsid w:val="00DB4EC6"/>
    <w:rsid w:val="00DB5006"/>
    <w:rsid w:val="00DB5098"/>
    <w:rsid w:val="00DB515E"/>
    <w:rsid w:val="00DB5829"/>
    <w:rsid w:val="00DB5D6F"/>
    <w:rsid w:val="00DB60B1"/>
    <w:rsid w:val="00DB76DF"/>
    <w:rsid w:val="00DC0041"/>
    <w:rsid w:val="00DC00CA"/>
    <w:rsid w:val="00DC01DB"/>
    <w:rsid w:val="00DC044C"/>
    <w:rsid w:val="00DC0B11"/>
    <w:rsid w:val="00DC2045"/>
    <w:rsid w:val="00DC2125"/>
    <w:rsid w:val="00DC2356"/>
    <w:rsid w:val="00DC29AF"/>
    <w:rsid w:val="00DC2D27"/>
    <w:rsid w:val="00DC3533"/>
    <w:rsid w:val="00DC3D32"/>
    <w:rsid w:val="00DC4019"/>
    <w:rsid w:val="00DC412D"/>
    <w:rsid w:val="00DC45C4"/>
    <w:rsid w:val="00DC4835"/>
    <w:rsid w:val="00DC4AA1"/>
    <w:rsid w:val="00DC4CCD"/>
    <w:rsid w:val="00DC4F43"/>
    <w:rsid w:val="00DC5569"/>
    <w:rsid w:val="00DC5673"/>
    <w:rsid w:val="00DC5864"/>
    <w:rsid w:val="00DC5A72"/>
    <w:rsid w:val="00DC62EC"/>
    <w:rsid w:val="00DC643C"/>
    <w:rsid w:val="00DC693C"/>
    <w:rsid w:val="00DC6BF1"/>
    <w:rsid w:val="00DC6D54"/>
    <w:rsid w:val="00DC71B1"/>
    <w:rsid w:val="00DC7852"/>
    <w:rsid w:val="00DC79C0"/>
    <w:rsid w:val="00DC7BFA"/>
    <w:rsid w:val="00DC7D71"/>
    <w:rsid w:val="00DD0C71"/>
    <w:rsid w:val="00DD0E99"/>
    <w:rsid w:val="00DD1B41"/>
    <w:rsid w:val="00DD2A74"/>
    <w:rsid w:val="00DD2CB2"/>
    <w:rsid w:val="00DD41DF"/>
    <w:rsid w:val="00DD47A6"/>
    <w:rsid w:val="00DD4C03"/>
    <w:rsid w:val="00DD4CEC"/>
    <w:rsid w:val="00DD549F"/>
    <w:rsid w:val="00DD5F31"/>
    <w:rsid w:val="00DD6132"/>
    <w:rsid w:val="00DD6733"/>
    <w:rsid w:val="00DE0016"/>
    <w:rsid w:val="00DE0AE5"/>
    <w:rsid w:val="00DE0BDE"/>
    <w:rsid w:val="00DE0DBE"/>
    <w:rsid w:val="00DE0F42"/>
    <w:rsid w:val="00DE297D"/>
    <w:rsid w:val="00DE3D54"/>
    <w:rsid w:val="00DE3E90"/>
    <w:rsid w:val="00DE3FC1"/>
    <w:rsid w:val="00DE5B2C"/>
    <w:rsid w:val="00DE5CC7"/>
    <w:rsid w:val="00DE5EF4"/>
    <w:rsid w:val="00DE6072"/>
    <w:rsid w:val="00DE67D1"/>
    <w:rsid w:val="00DE69B7"/>
    <w:rsid w:val="00DE6A77"/>
    <w:rsid w:val="00DE715E"/>
    <w:rsid w:val="00DE72C1"/>
    <w:rsid w:val="00DE7567"/>
    <w:rsid w:val="00DE7948"/>
    <w:rsid w:val="00DE7D2C"/>
    <w:rsid w:val="00DE7F08"/>
    <w:rsid w:val="00DF0A5D"/>
    <w:rsid w:val="00DF0B44"/>
    <w:rsid w:val="00DF0D6B"/>
    <w:rsid w:val="00DF0E1F"/>
    <w:rsid w:val="00DF1101"/>
    <w:rsid w:val="00DF14A3"/>
    <w:rsid w:val="00DF15A5"/>
    <w:rsid w:val="00DF15D1"/>
    <w:rsid w:val="00DF1AB1"/>
    <w:rsid w:val="00DF234F"/>
    <w:rsid w:val="00DF2361"/>
    <w:rsid w:val="00DF2F83"/>
    <w:rsid w:val="00DF323D"/>
    <w:rsid w:val="00DF34B8"/>
    <w:rsid w:val="00DF3B60"/>
    <w:rsid w:val="00DF41E2"/>
    <w:rsid w:val="00DF4704"/>
    <w:rsid w:val="00DF4E31"/>
    <w:rsid w:val="00DF4F9C"/>
    <w:rsid w:val="00DF50AA"/>
    <w:rsid w:val="00DF5CF3"/>
    <w:rsid w:val="00DF5DC1"/>
    <w:rsid w:val="00DF5F62"/>
    <w:rsid w:val="00DF6008"/>
    <w:rsid w:val="00DF68A7"/>
    <w:rsid w:val="00DF7FD7"/>
    <w:rsid w:val="00E00065"/>
    <w:rsid w:val="00E00C80"/>
    <w:rsid w:val="00E013CB"/>
    <w:rsid w:val="00E01B75"/>
    <w:rsid w:val="00E01F0B"/>
    <w:rsid w:val="00E02737"/>
    <w:rsid w:val="00E0287B"/>
    <w:rsid w:val="00E02D6E"/>
    <w:rsid w:val="00E02DF1"/>
    <w:rsid w:val="00E02EB1"/>
    <w:rsid w:val="00E02FA5"/>
    <w:rsid w:val="00E03357"/>
    <w:rsid w:val="00E03540"/>
    <w:rsid w:val="00E035E4"/>
    <w:rsid w:val="00E03834"/>
    <w:rsid w:val="00E03897"/>
    <w:rsid w:val="00E041DC"/>
    <w:rsid w:val="00E04834"/>
    <w:rsid w:val="00E04EDA"/>
    <w:rsid w:val="00E0531A"/>
    <w:rsid w:val="00E05790"/>
    <w:rsid w:val="00E05A4E"/>
    <w:rsid w:val="00E05A8E"/>
    <w:rsid w:val="00E0601F"/>
    <w:rsid w:val="00E0673D"/>
    <w:rsid w:val="00E07B34"/>
    <w:rsid w:val="00E07CB9"/>
    <w:rsid w:val="00E07CCD"/>
    <w:rsid w:val="00E07E4F"/>
    <w:rsid w:val="00E07E6F"/>
    <w:rsid w:val="00E07EC7"/>
    <w:rsid w:val="00E10242"/>
    <w:rsid w:val="00E104B6"/>
    <w:rsid w:val="00E10567"/>
    <w:rsid w:val="00E10854"/>
    <w:rsid w:val="00E108BC"/>
    <w:rsid w:val="00E110DD"/>
    <w:rsid w:val="00E12EC7"/>
    <w:rsid w:val="00E136C0"/>
    <w:rsid w:val="00E138FE"/>
    <w:rsid w:val="00E13948"/>
    <w:rsid w:val="00E13F8C"/>
    <w:rsid w:val="00E141C4"/>
    <w:rsid w:val="00E144EB"/>
    <w:rsid w:val="00E147B8"/>
    <w:rsid w:val="00E14C9A"/>
    <w:rsid w:val="00E14F39"/>
    <w:rsid w:val="00E152A7"/>
    <w:rsid w:val="00E15C89"/>
    <w:rsid w:val="00E16045"/>
    <w:rsid w:val="00E163A0"/>
    <w:rsid w:val="00E16672"/>
    <w:rsid w:val="00E167BC"/>
    <w:rsid w:val="00E1703C"/>
    <w:rsid w:val="00E170FC"/>
    <w:rsid w:val="00E176AF"/>
    <w:rsid w:val="00E2013D"/>
    <w:rsid w:val="00E2060E"/>
    <w:rsid w:val="00E20FBD"/>
    <w:rsid w:val="00E210C4"/>
    <w:rsid w:val="00E210DD"/>
    <w:rsid w:val="00E21A5D"/>
    <w:rsid w:val="00E21AFA"/>
    <w:rsid w:val="00E2238B"/>
    <w:rsid w:val="00E2328B"/>
    <w:rsid w:val="00E2375E"/>
    <w:rsid w:val="00E24EC6"/>
    <w:rsid w:val="00E25037"/>
    <w:rsid w:val="00E25633"/>
    <w:rsid w:val="00E258F5"/>
    <w:rsid w:val="00E25B5C"/>
    <w:rsid w:val="00E25CF4"/>
    <w:rsid w:val="00E262D7"/>
    <w:rsid w:val="00E26BB7"/>
    <w:rsid w:val="00E2720F"/>
    <w:rsid w:val="00E27CB7"/>
    <w:rsid w:val="00E27D1D"/>
    <w:rsid w:val="00E30479"/>
    <w:rsid w:val="00E307BA"/>
    <w:rsid w:val="00E3122D"/>
    <w:rsid w:val="00E3138E"/>
    <w:rsid w:val="00E317A8"/>
    <w:rsid w:val="00E3198F"/>
    <w:rsid w:val="00E32FBC"/>
    <w:rsid w:val="00E33307"/>
    <w:rsid w:val="00E33C8A"/>
    <w:rsid w:val="00E33DB2"/>
    <w:rsid w:val="00E34163"/>
    <w:rsid w:val="00E34891"/>
    <w:rsid w:val="00E34C00"/>
    <w:rsid w:val="00E35227"/>
    <w:rsid w:val="00E357A4"/>
    <w:rsid w:val="00E360E3"/>
    <w:rsid w:val="00E362F9"/>
    <w:rsid w:val="00E3692F"/>
    <w:rsid w:val="00E374D7"/>
    <w:rsid w:val="00E3795D"/>
    <w:rsid w:val="00E37A26"/>
    <w:rsid w:val="00E407B2"/>
    <w:rsid w:val="00E40979"/>
    <w:rsid w:val="00E40EA7"/>
    <w:rsid w:val="00E40F08"/>
    <w:rsid w:val="00E411CE"/>
    <w:rsid w:val="00E4151C"/>
    <w:rsid w:val="00E41539"/>
    <w:rsid w:val="00E41757"/>
    <w:rsid w:val="00E41FBA"/>
    <w:rsid w:val="00E4265F"/>
    <w:rsid w:val="00E427BF"/>
    <w:rsid w:val="00E42F1D"/>
    <w:rsid w:val="00E4317E"/>
    <w:rsid w:val="00E434B9"/>
    <w:rsid w:val="00E43D49"/>
    <w:rsid w:val="00E43F7A"/>
    <w:rsid w:val="00E443E6"/>
    <w:rsid w:val="00E4475D"/>
    <w:rsid w:val="00E44D32"/>
    <w:rsid w:val="00E44EFC"/>
    <w:rsid w:val="00E44FDF"/>
    <w:rsid w:val="00E45429"/>
    <w:rsid w:val="00E458A9"/>
    <w:rsid w:val="00E45990"/>
    <w:rsid w:val="00E45C25"/>
    <w:rsid w:val="00E45FA6"/>
    <w:rsid w:val="00E46283"/>
    <w:rsid w:val="00E463C4"/>
    <w:rsid w:val="00E46437"/>
    <w:rsid w:val="00E4708C"/>
    <w:rsid w:val="00E475DA"/>
    <w:rsid w:val="00E47BB8"/>
    <w:rsid w:val="00E47CA5"/>
    <w:rsid w:val="00E50628"/>
    <w:rsid w:val="00E50B2D"/>
    <w:rsid w:val="00E50B6B"/>
    <w:rsid w:val="00E50DC7"/>
    <w:rsid w:val="00E512CA"/>
    <w:rsid w:val="00E516A2"/>
    <w:rsid w:val="00E51959"/>
    <w:rsid w:val="00E52105"/>
    <w:rsid w:val="00E52209"/>
    <w:rsid w:val="00E5368E"/>
    <w:rsid w:val="00E536AE"/>
    <w:rsid w:val="00E5375C"/>
    <w:rsid w:val="00E538CB"/>
    <w:rsid w:val="00E5403B"/>
    <w:rsid w:val="00E54180"/>
    <w:rsid w:val="00E544E1"/>
    <w:rsid w:val="00E54C45"/>
    <w:rsid w:val="00E54EAC"/>
    <w:rsid w:val="00E552BA"/>
    <w:rsid w:val="00E556D5"/>
    <w:rsid w:val="00E55782"/>
    <w:rsid w:val="00E56678"/>
    <w:rsid w:val="00E56D79"/>
    <w:rsid w:val="00E571B2"/>
    <w:rsid w:val="00E60543"/>
    <w:rsid w:val="00E60FA8"/>
    <w:rsid w:val="00E61047"/>
    <w:rsid w:val="00E61077"/>
    <w:rsid w:val="00E61A66"/>
    <w:rsid w:val="00E61B63"/>
    <w:rsid w:val="00E6238E"/>
    <w:rsid w:val="00E623A1"/>
    <w:rsid w:val="00E62CB2"/>
    <w:rsid w:val="00E636BF"/>
    <w:rsid w:val="00E63CA0"/>
    <w:rsid w:val="00E63DCF"/>
    <w:rsid w:val="00E642C1"/>
    <w:rsid w:val="00E651D6"/>
    <w:rsid w:val="00E6520D"/>
    <w:rsid w:val="00E652F6"/>
    <w:rsid w:val="00E65303"/>
    <w:rsid w:val="00E65A80"/>
    <w:rsid w:val="00E66271"/>
    <w:rsid w:val="00E66D70"/>
    <w:rsid w:val="00E66DA9"/>
    <w:rsid w:val="00E671C8"/>
    <w:rsid w:val="00E674D0"/>
    <w:rsid w:val="00E675FA"/>
    <w:rsid w:val="00E67C6F"/>
    <w:rsid w:val="00E70479"/>
    <w:rsid w:val="00E70D67"/>
    <w:rsid w:val="00E7164D"/>
    <w:rsid w:val="00E71C2D"/>
    <w:rsid w:val="00E71C8F"/>
    <w:rsid w:val="00E721CD"/>
    <w:rsid w:val="00E72754"/>
    <w:rsid w:val="00E727D8"/>
    <w:rsid w:val="00E729A2"/>
    <w:rsid w:val="00E72CFC"/>
    <w:rsid w:val="00E738FE"/>
    <w:rsid w:val="00E74862"/>
    <w:rsid w:val="00E74C9E"/>
    <w:rsid w:val="00E74D64"/>
    <w:rsid w:val="00E757C4"/>
    <w:rsid w:val="00E75DFE"/>
    <w:rsid w:val="00E75F3D"/>
    <w:rsid w:val="00E77C7E"/>
    <w:rsid w:val="00E800B6"/>
    <w:rsid w:val="00E80949"/>
    <w:rsid w:val="00E811B1"/>
    <w:rsid w:val="00E8169D"/>
    <w:rsid w:val="00E81FFA"/>
    <w:rsid w:val="00E82215"/>
    <w:rsid w:val="00E82516"/>
    <w:rsid w:val="00E828C0"/>
    <w:rsid w:val="00E829FA"/>
    <w:rsid w:val="00E82A96"/>
    <w:rsid w:val="00E8404A"/>
    <w:rsid w:val="00E846ED"/>
    <w:rsid w:val="00E84851"/>
    <w:rsid w:val="00E84ACF"/>
    <w:rsid w:val="00E84B52"/>
    <w:rsid w:val="00E84D30"/>
    <w:rsid w:val="00E84FDE"/>
    <w:rsid w:val="00E85999"/>
    <w:rsid w:val="00E85DE5"/>
    <w:rsid w:val="00E85F3A"/>
    <w:rsid w:val="00E86013"/>
    <w:rsid w:val="00E86648"/>
    <w:rsid w:val="00E8687F"/>
    <w:rsid w:val="00E86BA5"/>
    <w:rsid w:val="00E87548"/>
    <w:rsid w:val="00E87861"/>
    <w:rsid w:val="00E87965"/>
    <w:rsid w:val="00E87C50"/>
    <w:rsid w:val="00E90F2B"/>
    <w:rsid w:val="00E90F7E"/>
    <w:rsid w:val="00E91D77"/>
    <w:rsid w:val="00E91EBA"/>
    <w:rsid w:val="00E9218C"/>
    <w:rsid w:val="00E922C6"/>
    <w:rsid w:val="00E92364"/>
    <w:rsid w:val="00E924D2"/>
    <w:rsid w:val="00E92B91"/>
    <w:rsid w:val="00E930A1"/>
    <w:rsid w:val="00E9329E"/>
    <w:rsid w:val="00E932E8"/>
    <w:rsid w:val="00E93BC4"/>
    <w:rsid w:val="00E93F57"/>
    <w:rsid w:val="00E941CE"/>
    <w:rsid w:val="00E953F4"/>
    <w:rsid w:val="00E9578F"/>
    <w:rsid w:val="00E959A2"/>
    <w:rsid w:val="00E9603C"/>
    <w:rsid w:val="00E9627F"/>
    <w:rsid w:val="00E965DE"/>
    <w:rsid w:val="00E96AF8"/>
    <w:rsid w:val="00E96BD3"/>
    <w:rsid w:val="00E96FC8"/>
    <w:rsid w:val="00E97403"/>
    <w:rsid w:val="00E97A63"/>
    <w:rsid w:val="00E97AAE"/>
    <w:rsid w:val="00EA0122"/>
    <w:rsid w:val="00EA0143"/>
    <w:rsid w:val="00EA05C8"/>
    <w:rsid w:val="00EA0DD8"/>
    <w:rsid w:val="00EA1849"/>
    <w:rsid w:val="00EA1C2D"/>
    <w:rsid w:val="00EA204D"/>
    <w:rsid w:val="00EA225B"/>
    <w:rsid w:val="00EA2FE9"/>
    <w:rsid w:val="00EA33EE"/>
    <w:rsid w:val="00EA3765"/>
    <w:rsid w:val="00EA3E19"/>
    <w:rsid w:val="00EA43C4"/>
    <w:rsid w:val="00EA48C8"/>
    <w:rsid w:val="00EA4E3E"/>
    <w:rsid w:val="00EA4ED2"/>
    <w:rsid w:val="00EA5A1F"/>
    <w:rsid w:val="00EA5F50"/>
    <w:rsid w:val="00EA6885"/>
    <w:rsid w:val="00EA750F"/>
    <w:rsid w:val="00EA7730"/>
    <w:rsid w:val="00EA777D"/>
    <w:rsid w:val="00EA792F"/>
    <w:rsid w:val="00EA79C0"/>
    <w:rsid w:val="00EA7BFB"/>
    <w:rsid w:val="00EB01C0"/>
    <w:rsid w:val="00EB1146"/>
    <w:rsid w:val="00EB12DA"/>
    <w:rsid w:val="00EB1628"/>
    <w:rsid w:val="00EB1CC2"/>
    <w:rsid w:val="00EB2067"/>
    <w:rsid w:val="00EB370A"/>
    <w:rsid w:val="00EB4049"/>
    <w:rsid w:val="00EB46CC"/>
    <w:rsid w:val="00EB4719"/>
    <w:rsid w:val="00EB56C7"/>
    <w:rsid w:val="00EB5820"/>
    <w:rsid w:val="00EB6659"/>
    <w:rsid w:val="00EB6AA8"/>
    <w:rsid w:val="00EB6F3E"/>
    <w:rsid w:val="00EB712A"/>
    <w:rsid w:val="00EB754F"/>
    <w:rsid w:val="00EB7E88"/>
    <w:rsid w:val="00EC079C"/>
    <w:rsid w:val="00EC080A"/>
    <w:rsid w:val="00EC08A9"/>
    <w:rsid w:val="00EC1271"/>
    <w:rsid w:val="00EC14D8"/>
    <w:rsid w:val="00EC16E6"/>
    <w:rsid w:val="00EC2001"/>
    <w:rsid w:val="00EC29A9"/>
    <w:rsid w:val="00EC2E1C"/>
    <w:rsid w:val="00EC2E20"/>
    <w:rsid w:val="00EC39B9"/>
    <w:rsid w:val="00EC39D7"/>
    <w:rsid w:val="00EC3C49"/>
    <w:rsid w:val="00EC4E72"/>
    <w:rsid w:val="00EC5422"/>
    <w:rsid w:val="00EC596D"/>
    <w:rsid w:val="00EC69E1"/>
    <w:rsid w:val="00EC6A09"/>
    <w:rsid w:val="00EC6BBC"/>
    <w:rsid w:val="00EC6E52"/>
    <w:rsid w:val="00EC7806"/>
    <w:rsid w:val="00ED003C"/>
    <w:rsid w:val="00ED00BB"/>
    <w:rsid w:val="00ED07BD"/>
    <w:rsid w:val="00ED1C92"/>
    <w:rsid w:val="00ED243B"/>
    <w:rsid w:val="00ED26D8"/>
    <w:rsid w:val="00ED2F13"/>
    <w:rsid w:val="00ED32B3"/>
    <w:rsid w:val="00ED3E66"/>
    <w:rsid w:val="00ED4307"/>
    <w:rsid w:val="00ED4BFC"/>
    <w:rsid w:val="00ED5127"/>
    <w:rsid w:val="00ED5551"/>
    <w:rsid w:val="00ED5746"/>
    <w:rsid w:val="00ED5931"/>
    <w:rsid w:val="00ED60FB"/>
    <w:rsid w:val="00ED6407"/>
    <w:rsid w:val="00ED6F69"/>
    <w:rsid w:val="00ED7130"/>
    <w:rsid w:val="00ED726D"/>
    <w:rsid w:val="00ED730C"/>
    <w:rsid w:val="00ED751E"/>
    <w:rsid w:val="00ED7A58"/>
    <w:rsid w:val="00EE03C6"/>
    <w:rsid w:val="00EE0813"/>
    <w:rsid w:val="00EE1B76"/>
    <w:rsid w:val="00EE2F2B"/>
    <w:rsid w:val="00EE3253"/>
    <w:rsid w:val="00EE333D"/>
    <w:rsid w:val="00EE3341"/>
    <w:rsid w:val="00EE37C2"/>
    <w:rsid w:val="00EE380F"/>
    <w:rsid w:val="00EE395F"/>
    <w:rsid w:val="00EE4912"/>
    <w:rsid w:val="00EE69FD"/>
    <w:rsid w:val="00EE6B9D"/>
    <w:rsid w:val="00EE6E1C"/>
    <w:rsid w:val="00EE7FE1"/>
    <w:rsid w:val="00EF0146"/>
    <w:rsid w:val="00EF0194"/>
    <w:rsid w:val="00EF0415"/>
    <w:rsid w:val="00EF0971"/>
    <w:rsid w:val="00EF0CC0"/>
    <w:rsid w:val="00EF13E9"/>
    <w:rsid w:val="00EF1AF9"/>
    <w:rsid w:val="00EF1CCF"/>
    <w:rsid w:val="00EF1D60"/>
    <w:rsid w:val="00EF29D1"/>
    <w:rsid w:val="00EF2BC0"/>
    <w:rsid w:val="00EF2CDD"/>
    <w:rsid w:val="00EF2CF9"/>
    <w:rsid w:val="00EF2FC4"/>
    <w:rsid w:val="00EF3885"/>
    <w:rsid w:val="00EF4172"/>
    <w:rsid w:val="00EF4995"/>
    <w:rsid w:val="00EF4EAD"/>
    <w:rsid w:val="00EF54E9"/>
    <w:rsid w:val="00EF5721"/>
    <w:rsid w:val="00EF58FF"/>
    <w:rsid w:val="00EF6148"/>
    <w:rsid w:val="00EF629B"/>
    <w:rsid w:val="00EF63CE"/>
    <w:rsid w:val="00EF63D0"/>
    <w:rsid w:val="00EF65B1"/>
    <w:rsid w:val="00EF6F87"/>
    <w:rsid w:val="00EF742D"/>
    <w:rsid w:val="00EF7635"/>
    <w:rsid w:val="00EF7C45"/>
    <w:rsid w:val="00EF7C99"/>
    <w:rsid w:val="00EF7EF4"/>
    <w:rsid w:val="00EF7F63"/>
    <w:rsid w:val="00F00812"/>
    <w:rsid w:val="00F00A7C"/>
    <w:rsid w:val="00F00ACE"/>
    <w:rsid w:val="00F014D0"/>
    <w:rsid w:val="00F018C2"/>
    <w:rsid w:val="00F018DE"/>
    <w:rsid w:val="00F029E5"/>
    <w:rsid w:val="00F02BBB"/>
    <w:rsid w:val="00F02ECB"/>
    <w:rsid w:val="00F03C03"/>
    <w:rsid w:val="00F04878"/>
    <w:rsid w:val="00F0536A"/>
    <w:rsid w:val="00F05402"/>
    <w:rsid w:val="00F05952"/>
    <w:rsid w:val="00F05D58"/>
    <w:rsid w:val="00F05E1E"/>
    <w:rsid w:val="00F05EB0"/>
    <w:rsid w:val="00F0626A"/>
    <w:rsid w:val="00F063FC"/>
    <w:rsid w:val="00F0724C"/>
    <w:rsid w:val="00F07A55"/>
    <w:rsid w:val="00F07D8F"/>
    <w:rsid w:val="00F10738"/>
    <w:rsid w:val="00F10D68"/>
    <w:rsid w:val="00F11055"/>
    <w:rsid w:val="00F11559"/>
    <w:rsid w:val="00F115D2"/>
    <w:rsid w:val="00F116FE"/>
    <w:rsid w:val="00F1193E"/>
    <w:rsid w:val="00F11B50"/>
    <w:rsid w:val="00F11CCA"/>
    <w:rsid w:val="00F11FCB"/>
    <w:rsid w:val="00F1207E"/>
    <w:rsid w:val="00F12CE8"/>
    <w:rsid w:val="00F1326A"/>
    <w:rsid w:val="00F137FC"/>
    <w:rsid w:val="00F141FE"/>
    <w:rsid w:val="00F143AA"/>
    <w:rsid w:val="00F144FC"/>
    <w:rsid w:val="00F14520"/>
    <w:rsid w:val="00F1458D"/>
    <w:rsid w:val="00F14BD9"/>
    <w:rsid w:val="00F14CAD"/>
    <w:rsid w:val="00F15A64"/>
    <w:rsid w:val="00F15F33"/>
    <w:rsid w:val="00F16670"/>
    <w:rsid w:val="00F169E5"/>
    <w:rsid w:val="00F16FFB"/>
    <w:rsid w:val="00F171CA"/>
    <w:rsid w:val="00F17489"/>
    <w:rsid w:val="00F20443"/>
    <w:rsid w:val="00F20FC4"/>
    <w:rsid w:val="00F21248"/>
    <w:rsid w:val="00F212E6"/>
    <w:rsid w:val="00F21E42"/>
    <w:rsid w:val="00F22918"/>
    <w:rsid w:val="00F23366"/>
    <w:rsid w:val="00F23A35"/>
    <w:rsid w:val="00F23CB1"/>
    <w:rsid w:val="00F23E3A"/>
    <w:rsid w:val="00F24814"/>
    <w:rsid w:val="00F2491A"/>
    <w:rsid w:val="00F250A7"/>
    <w:rsid w:val="00F25176"/>
    <w:rsid w:val="00F2599E"/>
    <w:rsid w:val="00F26554"/>
    <w:rsid w:val="00F26647"/>
    <w:rsid w:val="00F2677C"/>
    <w:rsid w:val="00F269D5"/>
    <w:rsid w:val="00F26CF2"/>
    <w:rsid w:val="00F26FC4"/>
    <w:rsid w:val="00F2797D"/>
    <w:rsid w:val="00F3055F"/>
    <w:rsid w:val="00F30987"/>
    <w:rsid w:val="00F30F87"/>
    <w:rsid w:val="00F31766"/>
    <w:rsid w:val="00F3195F"/>
    <w:rsid w:val="00F31B84"/>
    <w:rsid w:val="00F31D41"/>
    <w:rsid w:val="00F32A6C"/>
    <w:rsid w:val="00F33529"/>
    <w:rsid w:val="00F33A39"/>
    <w:rsid w:val="00F33CBB"/>
    <w:rsid w:val="00F348CD"/>
    <w:rsid w:val="00F34F15"/>
    <w:rsid w:val="00F350EF"/>
    <w:rsid w:val="00F3562A"/>
    <w:rsid w:val="00F35A4F"/>
    <w:rsid w:val="00F35BA9"/>
    <w:rsid w:val="00F366B2"/>
    <w:rsid w:val="00F36B42"/>
    <w:rsid w:val="00F36FEE"/>
    <w:rsid w:val="00F3701F"/>
    <w:rsid w:val="00F370E5"/>
    <w:rsid w:val="00F371D8"/>
    <w:rsid w:val="00F37323"/>
    <w:rsid w:val="00F37414"/>
    <w:rsid w:val="00F37635"/>
    <w:rsid w:val="00F401B8"/>
    <w:rsid w:val="00F41592"/>
    <w:rsid w:val="00F41609"/>
    <w:rsid w:val="00F41E7F"/>
    <w:rsid w:val="00F41F12"/>
    <w:rsid w:val="00F41F97"/>
    <w:rsid w:val="00F420FC"/>
    <w:rsid w:val="00F42203"/>
    <w:rsid w:val="00F422AA"/>
    <w:rsid w:val="00F426D3"/>
    <w:rsid w:val="00F42704"/>
    <w:rsid w:val="00F427F0"/>
    <w:rsid w:val="00F4290D"/>
    <w:rsid w:val="00F42A34"/>
    <w:rsid w:val="00F42CF6"/>
    <w:rsid w:val="00F42F2E"/>
    <w:rsid w:val="00F43101"/>
    <w:rsid w:val="00F43291"/>
    <w:rsid w:val="00F43368"/>
    <w:rsid w:val="00F448EF"/>
    <w:rsid w:val="00F44BD9"/>
    <w:rsid w:val="00F44CAB"/>
    <w:rsid w:val="00F45974"/>
    <w:rsid w:val="00F45E29"/>
    <w:rsid w:val="00F45F42"/>
    <w:rsid w:val="00F45F45"/>
    <w:rsid w:val="00F46491"/>
    <w:rsid w:val="00F46BF1"/>
    <w:rsid w:val="00F47BE9"/>
    <w:rsid w:val="00F50085"/>
    <w:rsid w:val="00F50BD9"/>
    <w:rsid w:val="00F50CFB"/>
    <w:rsid w:val="00F50D33"/>
    <w:rsid w:val="00F50ECD"/>
    <w:rsid w:val="00F50EDB"/>
    <w:rsid w:val="00F51497"/>
    <w:rsid w:val="00F5155D"/>
    <w:rsid w:val="00F5159C"/>
    <w:rsid w:val="00F519D1"/>
    <w:rsid w:val="00F51C9F"/>
    <w:rsid w:val="00F5246C"/>
    <w:rsid w:val="00F5287C"/>
    <w:rsid w:val="00F52A5F"/>
    <w:rsid w:val="00F53F71"/>
    <w:rsid w:val="00F553F4"/>
    <w:rsid w:val="00F553F6"/>
    <w:rsid w:val="00F55408"/>
    <w:rsid w:val="00F55AD2"/>
    <w:rsid w:val="00F56BB8"/>
    <w:rsid w:val="00F57675"/>
    <w:rsid w:val="00F57E7C"/>
    <w:rsid w:val="00F604F4"/>
    <w:rsid w:val="00F60A6B"/>
    <w:rsid w:val="00F60F1A"/>
    <w:rsid w:val="00F61407"/>
    <w:rsid w:val="00F619AD"/>
    <w:rsid w:val="00F61DA0"/>
    <w:rsid w:val="00F62826"/>
    <w:rsid w:val="00F62F2C"/>
    <w:rsid w:val="00F62FE8"/>
    <w:rsid w:val="00F63959"/>
    <w:rsid w:val="00F63FDF"/>
    <w:rsid w:val="00F64115"/>
    <w:rsid w:val="00F643C2"/>
    <w:rsid w:val="00F649E5"/>
    <w:rsid w:val="00F64C1D"/>
    <w:rsid w:val="00F6524B"/>
    <w:rsid w:val="00F65523"/>
    <w:rsid w:val="00F65847"/>
    <w:rsid w:val="00F66023"/>
    <w:rsid w:val="00F66A98"/>
    <w:rsid w:val="00F66DAA"/>
    <w:rsid w:val="00F67C63"/>
    <w:rsid w:val="00F70227"/>
    <w:rsid w:val="00F711FA"/>
    <w:rsid w:val="00F71F2D"/>
    <w:rsid w:val="00F71FC2"/>
    <w:rsid w:val="00F72542"/>
    <w:rsid w:val="00F73657"/>
    <w:rsid w:val="00F7415A"/>
    <w:rsid w:val="00F745DE"/>
    <w:rsid w:val="00F7462C"/>
    <w:rsid w:val="00F74A31"/>
    <w:rsid w:val="00F74F7E"/>
    <w:rsid w:val="00F76B1F"/>
    <w:rsid w:val="00F76D9C"/>
    <w:rsid w:val="00F773FD"/>
    <w:rsid w:val="00F77692"/>
    <w:rsid w:val="00F80347"/>
    <w:rsid w:val="00F803C1"/>
    <w:rsid w:val="00F803F5"/>
    <w:rsid w:val="00F80E63"/>
    <w:rsid w:val="00F80F47"/>
    <w:rsid w:val="00F81045"/>
    <w:rsid w:val="00F81387"/>
    <w:rsid w:val="00F81717"/>
    <w:rsid w:val="00F8179B"/>
    <w:rsid w:val="00F82068"/>
    <w:rsid w:val="00F820BF"/>
    <w:rsid w:val="00F8220F"/>
    <w:rsid w:val="00F82532"/>
    <w:rsid w:val="00F82623"/>
    <w:rsid w:val="00F82B1F"/>
    <w:rsid w:val="00F82F29"/>
    <w:rsid w:val="00F8318B"/>
    <w:rsid w:val="00F83C4D"/>
    <w:rsid w:val="00F83DA8"/>
    <w:rsid w:val="00F84199"/>
    <w:rsid w:val="00F84216"/>
    <w:rsid w:val="00F842BD"/>
    <w:rsid w:val="00F846E3"/>
    <w:rsid w:val="00F84FCC"/>
    <w:rsid w:val="00F85AC2"/>
    <w:rsid w:val="00F85AF2"/>
    <w:rsid w:val="00F85D73"/>
    <w:rsid w:val="00F85F7A"/>
    <w:rsid w:val="00F86385"/>
    <w:rsid w:val="00F8660C"/>
    <w:rsid w:val="00F86ABD"/>
    <w:rsid w:val="00F877C1"/>
    <w:rsid w:val="00F87C0D"/>
    <w:rsid w:val="00F87DA5"/>
    <w:rsid w:val="00F87EF0"/>
    <w:rsid w:val="00F90BC9"/>
    <w:rsid w:val="00F90CB8"/>
    <w:rsid w:val="00F91C22"/>
    <w:rsid w:val="00F91FED"/>
    <w:rsid w:val="00F921DF"/>
    <w:rsid w:val="00F92350"/>
    <w:rsid w:val="00F92A6B"/>
    <w:rsid w:val="00F92E99"/>
    <w:rsid w:val="00F93016"/>
    <w:rsid w:val="00F9336C"/>
    <w:rsid w:val="00F938AC"/>
    <w:rsid w:val="00F93A8E"/>
    <w:rsid w:val="00F93B6A"/>
    <w:rsid w:val="00F93F7A"/>
    <w:rsid w:val="00F94F54"/>
    <w:rsid w:val="00F952D3"/>
    <w:rsid w:val="00F955FA"/>
    <w:rsid w:val="00F95B6B"/>
    <w:rsid w:val="00F95F3B"/>
    <w:rsid w:val="00F9655F"/>
    <w:rsid w:val="00F9681F"/>
    <w:rsid w:val="00F96C75"/>
    <w:rsid w:val="00F97DDD"/>
    <w:rsid w:val="00FA066C"/>
    <w:rsid w:val="00FA0938"/>
    <w:rsid w:val="00FA12CD"/>
    <w:rsid w:val="00FA1A48"/>
    <w:rsid w:val="00FA2A49"/>
    <w:rsid w:val="00FA2BB0"/>
    <w:rsid w:val="00FA37E2"/>
    <w:rsid w:val="00FA3B79"/>
    <w:rsid w:val="00FA3C5A"/>
    <w:rsid w:val="00FA3E4D"/>
    <w:rsid w:val="00FA5685"/>
    <w:rsid w:val="00FA5C4F"/>
    <w:rsid w:val="00FA60D5"/>
    <w:rsid w:val="00FA69A4"/>
    <w:rsid w:val="00FA6F09"/>
    <w:rsid w:val="00FA728D"/>
    <w:rsid w:val="00FA7E89"/>
    <w:rsid w:val="00FB0A4B"/>
    <w:rsid w:val="00FB0F59"/>
    <w:rsid w:val="00FB1A6C"/>
    <w:rsid w:val="00FB2989"/>
    <w:rsid w:val="00FB2B1F"/>
    <w:rsid w:val="00FB2F8E"/>
    <w:rsid w:val="00FB36A4"/>
    <w:rsid w:val="00FB3B38"/>
    <w:rsid w:val="00FB4ACC"/>
    <w:rsid w:val="00FB5521"/>
    <w:rsid w:val="00FB561D"/>
    <w:rsid w:val="00FB5664"/>
    <w:rsid w:val="00FB586C"/>
    <w:rsid w:val="00FB5DC1"/>
    <w:rsid w:val="00FB649A"/>
    <w:rsid w:val="00FB64F0"/>
    <w:rsid w:val="00FB6502"/>
    <w:rsid w:val="00FB6992"/>
    <w:rsid w:val="00FB6CC0"/>
    <w:rsid w:val="00FB7F4D"/>
    <w:rsid w:val="00FC0DB1"/>
    <w:rsid w:val="00FC0EBD"/>
    <w:rsid w:val="00FC105A"/>
    <w:rsid w:val="00FC1259"/>
    <w:rsid w:val="00FC1CA3"/>
    <w:rsid w:val="00FC1CC2"/>
    <w:rsid w:val="00FC1FAF"/>
    <w:rsid w:val="00FC21E8"/>
    <w:rsid w:val="00FC268C"/>
    <w:rsid w:val="00FC3495"/>
    <w:rsid w:val="00FC3D13"/>
    <w:rsid w:val="00FC40F1"/>
    <w:rsid w:val="00FC4201"/>
    <w:rsid w:val="00FC4817"/>
    <w:rsid w:val="00FC4A81"/>
    <w:rsid w:val="00FC4BD3"/>
    <w:rsid w:val="00FC5302"/>
    <w:rsid w:val="00FC5E20"/>
    <w:rsid w:val="00FC666B"/>
    <w:rsid w:val="00FC676F"/>
    <w:rsid w:val="00FC693B"/>
    <w:rsid w:val="00FC69D2"/>
    <w:rsid w:val="00FC6C8F"/>
    <w:rsid w:val="00FC6F48"/>
    <w:rsid w:val="00FC796D"/>
    <w:rsid w:val="00FC7BAE"/>
    <w:rsid w:val="00FD002F"/>
    <w:rsid w:val="00FD054D"/>
    <w:rsid w:val="00FD0F6E"/>
    <w:rsid w:val="00FD14EB"/>
    <w:rsid w:val="00FD1A62"/>
    <w:rsid w:val="00FD1E57"/>
    <w:rsid w:val="00FD2533"/>
    <w:rsid w:val="00FD2868"/>
    <w:rsid w:val="00FD3291"/>
    <w:rsid w:val="00FD35A9"/>
    <w:rsid w:val="00FD35BF"/>
    <w:rsid w:val="00FD3951"/>
    <w:rsid w:val="00FD3DDE"/>
    <w:rsid w:val="00FD461A"/>
    <w:rsid w:val="00FD4660"/>
    <w:rsid w:val="00FD4BBB"/>
    <w:rsid w:val="00FD4FAB"/>
    <w:rsid w:val="00FD5E5E"/>
    <w:rsid w:val="00FD5ECA"/>
    <w:rsid w:val="00FD6DB9"/>
    <w:rsid w:val="00FD7347"/>
    <w:rsid w:val="00FD788A"/>
    <w:rsid w:val="00FD788E"/>
    <w:rsid w:val="00FE00C2"/>
    <w:rsid w:val="00FE0C18"/>
    <w:rsid w:val="00FE10DD"/>
    <w:rsid w:val="00FE165B"/>
    <w:rsid w:val="00FE1ACB"/>
    <w:rsid w:val="00FE1CEC"/>
    <w:rsid w:val="00FE209B"/>
    <w:rsid w:val="00FE25B0"/>
    <w:rsid w:val="00FE2CB3"/>
    <w:rsid w:val="00FE2D61"/>
    <w:rsid w:val="00FE2F79"/>
    <w:rsid w:val="00FE346E"/>
    <w:rsid w:val="00FE36A7"/>
    <w:rsid w:val="00FE3D21"/>
    <w:rsid w:val="00FE40A3"/>
    <w:rsid w:val="00FE481B"/>
    <w:rsid w:val="00FE5AB5"/>
    <w:rsid w:val="00FE5E52"/>
    <w:rsid w:val="00FE6149"/>
    <w:rsid w:val="00FE634D"/>
    <w:rsid w:val="00FE691E"/>
    <w:rsid w:val="00FE70C7"/>
    <w:rsid w:val="00FE77BA"/>
    <w:rsid w:val="00FE7BCB"/>
    <w:rsid w:val="00FE7D00"/>
    <w:rsid w:val="00FF033D"/>
    <w:rsid w:val="00FF045C"/>
    <w:rsid w:val="00FF05E3"/>
    <w:rsid w:val="00FF09CA"/>
    <w:rsid w:val="00FF0A39"/>
    <w:rsid w:val="00FF0E3E"/>
    <w:rsid w:val="00FF140C"/>
    <w:rsid w:val="00FF15C3"/>
    <w:rsid w:val="00FF252F"/>
    <w:rsid w:val="00FF2B9E"/>
    <w:rsid w:val="00FF2F97"/>
    <w:rsid w:val="00FF36C4"/>
    <w:rsid w:val="00FF412D"/>
    <w:rsid w:val="00FF4B4A"/>
    <w:rsid w:val="00FF5310"/>
    <w:rsid w:val="00FF53CB"/>
    <w:rsid w:val="00FF6104"/>
    <w:rsid w:val="00FF64C3"/>
    <w:rsid w:val="00FF6E3F"/>
    <w:rsid w:val="00FF712D"/>
    <w:rsid w:val="00FF71AB"/>
    <w:rsid w:val="00FF7944"/>
    <w:rsid w:val="303E36E1"/>
    <w:rsid w:val="32159A95"/>
    <w:rsid w:val="3A89244F"/>
    <w:rsid w:val="53F29261"/>
    <w:rsid w:val="7B4990E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6E7EF"/>
  <w15:chartTrackingRefBased/>
  <w15:docId w15:val="{5589F7EA-F29E-49AF-9E98-4CF767386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806E8"/>
    <w:rPr>
      <w:rFonts w:ascii="Times New Roman" w:eastAsia="Times New Roman" w:hAnsi="Times New Roman"/>
      <w:sz w:val="24"/>
      <w:szCs w:val="24"/>
    </w:rPr>
  </w:style>
  <w:style w:type="paragraph" w:styleId="1">
    <w:name w:val="heading 1"/>
    <w:aliases w:val="H1,h1,NMP Heading 1,app heading 1,l1,Memo Heading 1,h11,h12,h13,h14,h15,h16,h17,h111,h121,h131,h141,h151,h161,h18,h112,h122,h132,h142,h152,h162,h19,h113,h123,h133,h143,h153,h163,1,Section of paper,Heading 1_a"/>
    <w:next w:val="a"/>
    <w:link w:val="10"/>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link w:val="20"/>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3">
    <w:name w:val="heading 3"/>
    <w:basedOn w:val="a"/>
    <w:next w:val="a"/>
    <w:qFormat/>
    <w:rsid w:val="00DE67D1"/>
    <w:pPr>
      <w:keepNext/>
      <w:numPr>
        <w:ilvl w:val="2"/>
        <w:numId w:val="1"/>
      </w:numPr>
      <w:ind w:leftChars="400" w:left="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link w:val="40"/>
    <w:qFormat/>
    <w:rsid w:val="00DE67D1"/>
    <w:pPr>
      <w:keepLines/>
      <w:numPr>
        <w:ilvl w:val="3"/>
      </w:numPr>
      <w:spacing w:before="120"/>
      <w:ind w:leftChars="0" w:left="0"/>
      <w:outlineLvl w:val="3"/>
    </w:pPr>
    <w:rPr>
      <w:rFonts w:eastAsia="MS Mincho"/>
    </w:rPr>
  </w:style>
  <w:style w:type="paragraph" w:styleId="5">
    <w:name w:val="heading 5"/>
    <w:basedOn w:val="a"/>
    <w:next w:val="a"/>
    <w:qFormat/>
    <w:rsid w:val="00B461B5"/>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rPr>
      <w:rFonts w:ascii="Century" w:eastAsia="MS Mincho" w:hAnsi="Century"/>
      <w:sz w:val="20"/>
      <w:szCs w:val="20"/>
      <w:lang w:val="en-GB" w:eastAsia="de-DE"/>
    </w:rPr>
  </w:style>
  <w:style w:type="paragraph" w:styleId="a5">
    <w:name w:val="caption"/>
    <w:basedOn w:val="a"/>
    <w:next w:val="a"/>
    <w:qFormat/>
    <w:rsid w:val="00DE67D1"/>
    <w:pPr>
      <w:spacing w:before="120" w:after="120"/>
    </w:pPr>
    <w:rPr>
      <w:b/>
    </w:rPr>
  </w:style>
  <w:style w:type="paragraph" w:styleId="21">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uiPriority w:val="1"/>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eastAsia="en-US"/>
    </w:rPr>
  </w:style>
  <w:style w:type="paragraph" w:styleId="aa">
    <w:name w:val="Document Map"/>
    <w:basedOn w:val="a"/>
    <w:semiHidden/>
    <w:rsid w:val="00F448EF"/>
    <w:pPr>
      <w:shd w:val="clear" w:color="auto" w:fill="000080"/>
    </w:pPr>
    <w:rPr>
      <w:rFonts w:ascii="Arial" w:eastAsia="MS Gothic" w:hAnsi="Arial"/>
    </w:rPr>
  </w:style>
  <w:style w:type="character" w:styleId="ab">
    <w:name w:val="annotation reference"/>
    <w:semiHidden/>
    <w:rsid w:val="00EA7730"/>
    <w:rPr>
      <w:sz w:val="18"/>
      <w:szCs w:val="18"/>
    </w:rPr>
  </w:style>
  <w:style w:type="paragraph" w:styleId="ac">
    <w:name w:val="annotation text"/>
    <w:basedOn w:val="a"/>
    <w:link w:val="ad"/>
    <w:semiHidden/>
    <w:rsid w:val="00EA7730"/>
  </w:style>
  <w:style w:type="paragraph" w:styleId="ae">
    <w:name w:val="annotation subject"/>
    <w:basedOn w:val="ac"/>
    <w:next w:val="ac"/>
    <w:semiHidden/>
    <w:rsid w:val="00EA7730"/>
    <w:rPr>
      <w:b/>
      <w:bCs/>
    </w:rPr>
  </w:style>
  <w:style w:type="paragraph" w:customStyle="1" w:styleId="Doc-text">
    <w:name w:val="Doc-text"/>
    <w:basedOn w:val="a"/>
    <w:rsid w:val="00270951"/>
    <w:pPr>
      <w:numPr>
        <w:numId w:val="2"/>
      </w:numPr>
      <w:tabs>
        <w:tab w:val="num" w:pos="1620"/>
        <w:tab w:val="left" w:pos="2160"/>
        <w:tab w:val="left" w:pos="2700"/>
        <w:tab w:val="left" w:pos="3240"/>
      </w:tabs>
      <w:ind w:left="1620"/>
    </w:pPr>
    <w:rPr>
      <w:rFonts w:ascii="Arial" w:hAnsi="Arial"/>
      <w:bCs/>
      <w:lang w:eastAsia="en-GB"/>
    </w:rPr>
  </w:style>
  <w:style w:type="paragraph" w:styleId="af">
    <w:name w:val="footer"/>
    <w:basedOn w:val="a"/>
    <w:link w:val="af0"/>
    <w:rsid w:val="003A6A52"/>
    <w:pPr>
      <w:tabs>
        <w:tab w:val="center" w:pos="4252"/>
        <w:tab w:val="right" w:pos="8504"/>
      </w:tabs>
      <w:snapToGrid w:val="0"/>
    </w:pPr>
    <w:rPr>
      <w:rFonts w:eastAsia="MS Mincho"/>
      <w:sz w:val="20"/>
      <w:szCs w:val="20"/>
      <w:lang w:val="en-GB" w:eastAsia="de-DE"/>
    </w:rPr>
  </w:style>
  <w:style w:type="character" w:customStyle="1" w:styleId="af0">
    <w:name w:val="頁尾 字元"/>
    <w:link w:val="af"/>
    <w:rsid w:val="003A6A52"/>
    <w:rPr>
      <w:rFonts w:ascii="Times New Roman" w:hAnsi="Times New Roman"/>
      <w:lang w:val="en-GB" w:eastAsia="de-DE"/>
    </w:rPr>
  </w:style>
  <w:style w:type="paragraph" w:customStyle="1" w:styleId="TAL">
    <w:name w:val="TAL"/>
    <w:basedOn w:val="a"/>
    <w:link w:val="TALCar"/>
    <w:qFormat/>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a"/>
    <w:link w:val="THChar"/>
    <w:qFormat/>
    <w:rsid w:val="003A7D5E"/>
    <w:pPr>
      <w:keepNext/>
      <w:keepLines/>
      <w:overflowPunct w:val="0"/>
      <w:autoSpaceDE w:val="0"/>
      <w:autoSpaceDN w:val="0"/>
      <w:adjustRightInd w:val="0"/>
      <w:spacing w:before="60"/>
      <w:jc w:val="center"/>
      <w:textAlignment w:val="baseline"/>
    </w:pPr>
    <w:rPr>
      <w:rFonts w:ascii="Arial" w:eastAsia="MS Mincho" w:hAnsi="Arial" w:cs="Vrinda"/>
      <w:b/>
      <w:bCs/>
      <w:sz w:val="20"/>
      <w:szCs w:val="20"/>
      <w:lang w:val="en-GB"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3A7D5E"/>
    <w:pPr>
      <w:overflowPunct w:val="0"/>
      <w:autoSpaceDE w:val="0"/>
      <w:autoSpaceDN w:val="0"/>
      <w:adjustRightInd w:val="0"/>
      <w:textAlignment w:val="baseline"/>
    </w:pPr>
    <w:rPr>
      <w:rFonts w:ascii="Century" w:eastAsia="MS Mincho" w:hAnsi="Century" w:cs="Vrinda"/>
      <w:sz w:val="20"/>
      <w:szCs w:val="20"/>
      <w:lang w:val="en-GB" w:eastAsia="ja-JP" w:bidi="bn-IN"/>
    </w:rPr>
  </w:style>
  <w:style w:type="character" w:customStyle="1" w:styleId="af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1"/>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basedOn w:val="TALC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af3">
    <w:name w:val="Plain Text"/>
    <w:basedOn w:val="a"/>
    <w:rsid w:val="009C504D"/>
    <w:rPr>
      <w:rFonts w:ascii="Courier New" w:hAnsi="Courier New" w:cs="Courier New"/>
      <w:lang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Web">
    <w:name w:val="Normal (Web)"/>
    <w:basedOn w:val="a"/>
    <w:uiPriority w:val="99"/>
    <w:unhideWhenUsed/>
    <w:rsid w:val="00780F21"/>
    <w:pPr>
      <w:spacing w:before="100" w:beforeAutospacing="1" w:after="100" w:afterAutospacing="1"/>
    </w:pPr>
    <w:rPr>
      <w:lang w:eastAsia="zh-CN"/>
    </w:rPr>
  </w:style>
  <w:style w:type="paragraph" w:styleId="af4">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af5"/>
    <w:uiPriority w:val="34"/>
    <w:qFormat/>
    <w:rsid w:val="00FA066C"/>
    <w:pPr>
      <w:ind w:left="720"/>
      <w:contextualSpacing/>
    </w:pPr>
  </w:style>
  <w:style w:type="paragraph" w:styleId="11">
    <w:name w:val="index 1"/>
    <w:basedOn w:val="a"/>
    <w:rsid w:val="00FE1ACB"/>
    <w:pPr>
      <w:keepLines/>
      <w:overflowPunct w:val="0"/>
      <w:autoSpaceDE w:val="0"/>
      <w:autoSpaceDN w:val="0"/>
      <w:adjustRightInd w:val="0"/>
      <w:textAlignment w:val="baseline"/>
    </w:pPr>
    <w:rPr>
      <w:lang w:eastAsia="ja-JP"/>
    </w:rPr>
  </w:style>
  <w:style w:type="paragraph" w:customStyle="1" w:styleId="Guidance">
    <w:name w:val="Guidance"/>
    <w:basedOn w:val="a"/>
    <w:link w:val="GuidanceChar"/>
    <w:rsid w:val="0059382D"/>
    <w:pPr>
      <w:overflowPunct w:val="0"/>
      <w:autoSpaceDE w:val="0"/>
      <w:autoSpaceDN w:val="0"/>
      <w:adjustRightInd w:val="0"/>
      <w:spacing w:after="180"/>
      <w:textAlignment w:val="baseline"/>
    </w:pPr>
    <w:rPr>
      <w:i/>
      <w:color w:val="0000FF"/>
      <w:sz w:val="20"/>
      <w:szCs w:val="20"/>
      <w:lang w:val="en-GB" w:eastAsia="en-US"/>
    </w:rPr>
  </w:style>
  <w:style w:type="character" w:customStyle="1" w:styleId="GuidanceChar">
    <w:name w:val="Guidance Char"/>
    <w:link w:val="Guidance"/>
    <w:rsid w:val="0059382D"/>
    <w:rPr>
      <w:rFonts w:ascii="Times New Roman" w:eastAsia="Times New Roman" w:hAnsi="Times New Roman"/>
      <w:i/>
      <w:color w:val="0000FF"/>
      <w:lang w:val="en-GB" w:eastAsia="en-US"/>
    </w:rPr>
  </w:style>
  <w:style w:type="paragraph" w:styleId="af6">
    <w:name w:val="Title"/>
    <w:basedOn w:val="a"/>
    <w:next w:val="a"/>
    <w:link w:val="af7"/>
    <w:uiPriority w:val="10"/>
    <w:qFormat/>
    <w:rsid w:val="0027388F"/>
    <w:pPr>
      <w:contextualSpacing/>
    </w:pPr>
    <w:rPr>
      <w:rFonts w:ascii="Malgun Gothic" w:eastAsia="Malgun Gothic" w:hAnsi="Malgun Gothic"/>
      <w:spacing w:val="-10"/>
      <w:sz w:val="56"/>
      <w:szCs w:val="56"/>
      <w:lang w:eastAsia="ko-KR"/>
    </w:rPr>
  </w:style>
  <w:style w:type="character" w:customStyle="1" w:styleId="af7">
    <w:name w:val="標題 字元"/>
    <w:link w:val="af6"/>
    <w:uiPriority w:val="10"/>
    <w:qFormat/>
    <w:rsid w:val="0027388F"/>
    <w:rPr>
      <w:rFonts w:ascii="Malgun Gothic" w:eastAsia="Malgun Gothic" w:hAnsi="Malgun Gothic"/>
      <w:spacing w:val="-10"/>
      <w:sz w:val="56"/>
      <w:szCs w:val="56"/>
      <w:lang w:eastAsia="ko-KR"/>
    </w:rPr>
  </w:style>
  <w:style w:type="character" w:customStyle="1" w:styleId="af5">
    <w:name w:val="清單段落 字元"/>
    <w:aliases w:val="- Bullets 字元,?? ?? 字元,????? 字元,???? 字元,Lista1 字元,列出段落1 字元,中等深浅网格 1 - 着色 21 字元,R4_bullets 字元,列表段落1 字元,—ño’i—Ž 字元,¥¡¡¡¡ì¬º¥¹¥È¶ÎÂä 字元,ÁÐ³ö¶ÎÂä 字元,¥ê¥¹¥È¶ÎÂä 字元,1st level - Bullet List Paragraph 字元,Lettre d'introduction 字元,Paragrafo elenco 字元"/>
    <w:link w:val="af4"/>
    <w:uiPriority w:val="34"/>
    <w:qFormat/>
    <w:locked/>
    <w:rsid w:val="00FE2D61"/>
    <w:rPr>
      <w:rFonts w:ascii="Times New Roman" w:eastAsia="Times New Roman" w:hAnsi="Times New Roman"/>
      <w:sz w:val="24"/>
      <w:szCs w:val="24"/>
    </w:rPr>
  </w:style>
  <w:style w:type="character" w:customStyle="1" w:styleId="10">
    <w:name w:val="標題 1 字元"/>
    <w:aliases w:val="H1 字元,h1 字元,NMP Heading 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FE2D61"/>
    <w:rPr>
      <w:rFonts w:ascii="Arial" w:hAnsi="Arial"/>
      <w:sz w:val="36"/>
      <w:lang w:val="en-GB" w:eastAsia="de-DE"/>
    </w:rPr>
  </w:style>
  <w:style w:type="character" w:customStyle="1" w:styleId="ad">
    <w:name w:val="註解文字 字元"/>
    <w:basedOn w:val="a0"/>
    <w:link w:val="ac"/>
    <w:semiHidden/>
    <w:rsid w:val="002A21B6"/>
    <w:rPr>
      <w:rFonts w:ascii="Times New Roman" w:eastAsia="Times New Roman" w:hAnsi="Times New Roman"/>
      <w:sz w:val="24"/>
      <w:szCs w:val="24"/>
    </w:rPr>
  </w:style>
  <w:style w:type="character" w:customStyle="1" w:styleId="20">
    <w:name w:val="標題 2 字元"/>
    <w:aliases w:val="DO NOT USE_h2 字元,h2 字元,h21 字元,H2 字元,Head2A 字元,2 字元,UNDERRUBRIK 1-2 字元"/>
    <w:basedOn w:val="a0"/>
    <w:link w:val="2"/>
    <w:rsid w:val="00744BDC"/>
    <w:rPr>
      <w:rFonts w:ascii="Arial" w:hAnsi="Arial"/>
      <w:sz w:val="32"/>
      <w:lang w:val="en-GB" w:eastAsia="ja-JP"/>
    </w:rPr>
  </w:style>
  <w:style w:type="paragraph" w:styleId="af8">
    <w:name w:val="Revision"/>
    <w:hidden/>
    <w:uiPriority w:val="99"/>
    <w:semiHidden/>
    <w:rsid w:val="002F11D1"/>
    <w:rPr>
      <w:rFonts w:ascii="Times New Roman" w:eastAsia="Times New Roman" w:hAnsi="Times New Roman"/>
      <w:sz w:val="24"/>
      <w:szCs w:val="24"/>
    </w:rPr>
  </w:style>
  <w:style w:type="numbering" w:customStyle="1" w:styleId="Style1">
    <w:name w:val="Style1"/>
    <w:uiPriority w:val="99"/>
    <w:rsid w:val="00596DEF"/>
    <w:pPr>
      <w:numPr>
        <w:numId w:val="5"/>
      </w:numPr>
    </w:p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005888"/>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6569221">
      <w:bodyDiv w:val="1"/>
      <w:marLeft w:val="0"/>
      <w:marRight w:val="0"/>
      <w:marTop w:val="0"/>
      <w:marBottom w:val="0"/>
      <w:divBdr>
        <w:top w:val="none" w:sz="0" w:space="0" w:color="auto"/>
        <w:left w:val="none" w:sz="0" w:space="0" w:color="auto"/>
        <w:bottom w:val="none" w:sz="0" w:space="0" w:color="auto"/>
        <w:right w:val="none" w:sz="0" w:space="0" w:color="auto"/>
      </w:divBdr>
    </w:div>
    <w:div w:id="13382991">
      <w:bodyDiv w:val="1"/>
      <w:marLeft w:val="0"/>
      <w:marRight w:val="0"/>
      <w:marTop w:val="0"/>
      <w:marBottom w:val="0"/>
      <w:divBdr>
        <w:top w:val="none" w:sz="0" w:space="0" w:color="auto"/>
        <w:left w:val="none" w:sz="0" w:space="0" w:color="auto"/>
        <w:bottom w:val="none" w:sz="0" w:space="0" w:color="auto"/>
        <w:right w:val="none" w:sz="0" w:space="0" w:color="auto"/>
      </w:divBdr>
    </w:div>
    <w:div w:id="26296990">
      <w:bodyDiv w:val="1"/>
      <w:marLeft w:val="0"/>
      <w:marRight w:val="0"/>
      <w:marTop w:val="0"/>
      <w:marBottom w:val="0"/>
      <w:divBdr>
        <w:top w:val="none" w:sz="0" w:space="0" w:color="auto"/>
        <w:left w:val="none" w:sz="0" w:space="0" w:color="auto"/>
        <w:bottom w:val="none" w:sz="0" w:space="0" w:color="auto"/>
        <w:right w:val="none" w:sz="0" w:space="0" w:color="auto"/>
      </w:divBdr>
    </w:div>
    <w:div w:id="26562702">
      <w:bodyDiv w:val="1"/>
      <w:marLeft w:val="0"/>
      <w:marRight w:val="0"/>
      <w:marTop w:val="0"/>
      <w:marBottom w:val="0"/>
      <w:divBdr>
        <w:top w:val="none" w:sz="0" w:space="0" w:color="auto"/>
        <w:left w:val="none" w:sz="0" w:space="0" w:color="auto"/>
        <w:bottom w:val="none" w:sz="0" w:space="0" w:color="auto"/>
        <w:right w:val="none" w:sz="0" w:space="0" w:color="auto"/>
      </w:divBdr>
    </w:div>
    <w:div w:id="31618980">
      <w:bodyDiv w:val="1"/>
      <w:marLeft w:val="0"/>
      <w:marRight w:val="0"/>
      <w:marTop w:val="0"/>
      <w:marBottom w:val="0"/>
      <w:divBdr>
        <w:top w:val="none" w:sz="0" w:space="0" w:color="auto"/>
        <w:left w:val="none" w:sz="0" w:space="0" w:color="auto"/>
        <w:bottom w:val="none" w:sz="0" w:space="0" w:color="auto"/>
        <w:right w:val="none" w:sz="0" w:space="0" w:color="auto"/>
      </w:divBdr>
    </w:div>
    <w:div w:id="32392275">
      <w:bodyDiv w:val="1"/>
      <w:marLeft w:val="0"/>
      <w:marRight w:val="0"/>
      <w:marTop w:val="0"/>
      <w:marBottom w:val="0"/>
      <w:divBdr>
        <w:top w:val="none" w:sz="0" w:space="0" w:color="auto"/>
        <w:left w:val="none" w:sz="0" w:space="0" w:color="auto"/>
        <w:bottom w:val="none" w:sz="0" w:space="0" w:color="auto"/>
        <w:right w:val="none" w:sz="0" w:space="0" w:color="auto"/>
      </w:divBdr>
    </w:div>
    <w:div w:id="37053354">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49545357">
      <w:bodyDiv w:val="1"/>
      <w:marLeft w:val="0"/>
      <w:marRight w:val="0"/>
      <w:marTop w:val="0"/>
      <w:marBottom w:val="0"/>
      <w:divBdr>
        <w:top w:val="none" w:sz="0" w:space="0" w:color="auto"/>
        <w:left w:val="none" w:sz="0" w:space="0" w:color="auto"/>
        <w:bottom w:val="none" w:sz="0" w:space="0" w:color="auto"/>
        <w:right w:val="none" w:sz="0" w:space="0" w:color="auto"/>
      </w:divBdr>
    </w:div>
    <w:div w:id="49963529">
      <w:bodyDiv w:val="1"/>
      <w:marLeft w:val="0"/>
      <w:marRight w:val="0"/>
      <w:marTop w:val="0"/>
      <w:marBottom w:val="0"/>
      <w:divBdr>
        <w:top w:val="none" w:sz="0" w:space="0" w:color="auto"/>
        <w:left w:val="none" w:sz="0" w:space="0" w:color="auto"/>
        <w:bottom w:val="none" w:sz="0" w:space="0" w:color="auto"/>
        <w:right w:val="none" w:sz="0" w:space="0" w:color="auto"/>
      </w:divBdr>
    </w:div>
    <w:div w:id="50471508">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62610267">
      <w:bodyDiv w:val="1"/>
      <w:marLeft w:val="0"/>
      <w:marRight w:val="0"/>
      <w:marTop w:val="0"/>
      <w:marBottom w:val="0"/>
      <w:divBdr>
        <w:top w:val="none" w:sz="0" w:space="0" w:color="auto"/>
        <w:left w:val="none" w:sz="0" w:space="0" w:color="auto"/>
        <w:bottom w:val="none" w:sz="0" w:space="0" w:color="auto"/>
        <w:right w:val="none" w:sz="0" w:space="0" w:color="auto"/>
      </w:divBdr>
    </w:div>
    <w:div w:id="63650657">
      <w:bodyDiv w:val="1"/>
      <w:marLeft w:val="0"/>
      <w:marRight w:val="0"/>
      <w:marTop w:val="0"/>
      <w:marBottom w:val="0"/>
      <w:divBdr>
        <w:top w:val="none" w:sz="0" w:space="0" w:color="auto"/>
        <w:left w:val="none" w:sz="0" w:space="0" w:color="auto"/>
        <w:bottom w:val="none" w:sz="0" w:space="0" w:color="auto"/>
        <w:right w:val="none" w:sz="0" w:space="0" w:color="auto"/>
      </w:divBdr>
    </w:div>
    <w:div w:id="66656869">
      <w:bodyDiv w:val="1"/>
      <w:marLeft w:val="0"/>
      <w:marRight w:val="0"/>
      <w:marTop w:val="0"/>
      <w:marBottom w:val="0"/>
      <w:divBdr>
        <w:top w:val="none" w:sz="0" w:space="0" w:color="auto"/>
        <w:left w:val="none" w:sz="0" w:space="0" w:color="auto"/>
        <w:bottom w:val="none" w:sz="0" w:space="0" w:color="auto"/>
        <w:right w:val="none" w:sz="0" w:space="0" w:color="auto"/>
      </w:divBdr>
    </w:div>
    <w:div w:id="70780558">
      <w:bodyDiv w:val="1"/>
      <w:marLeft w:val="0"/>
      <w:marRight w:val="0"/>
      <w:marTop w:val="0"/>
      <w:marBottom w:val="0"/>
      <w:divBdr>
        <w:top w:val="none" w:sz="0" w:space="0" w:color="auto"/>
        <w:left w:val="none" w:sz="0" w:space="0" w:color="auto"/>
        <w:bottom w:val="none" w:sz="0" w:space="0" w:color="auto"/>
        <w:right w:val="none" w:sz="0" w:space="0" w:color="auto"/>
      </w:divBdr>
    </w:div>
    <w:div w:id="72901831">
      <w:bodyDiv w:val="1"/>
      <w:marLeft w:val="0"/>
      <w:marRight w:val="0"/>
      <w:marTop w:val="0"/>
      <w:marBottom w:val="0"/>
      <w:divBdr>
        <w:top w:val="none" w:sz="0" w:space="0" w:color="auto"/>
        <w:left w:val="none" w:sz="0" w:space="0" w:color="auto"/>
        <w:bottom w:val="none" w:sz="0" w:space="0" w:color="auto"/>
        <w:right w:val="none" w:sz="0" w:space="0" w:color="auto"/>
      </w:divBdr>
    </w:div>
    <w:div w:id="77100729">
      <w:bodyDiv w:val="1"/>
      <w:marLeft w:val="0"/>
      <w:marRight w:val="0"/>
      <w:marTop w:val="0"/>
      <w:marBottom w:val="0"/>
      <w:divBdr>
        <w:top w:val="none" w:sz="0" w:space="0" w:color="auto"/>
        <w:left w:val="none" w:sz="0" w:space="0" w:color="auto"/>
        <w:bottom w:val="none" w:sz="0" w:space="0" w:color="auto"/>
        <w:right w:val="none" w:sz="0" w:space="0" w:color="auto"/>
      </w:divBdr>
    </w:div>
    <w:div w:id="84765003">
      <w:bodyDiv w:val="1"/>
      <w:marLeft w:val="0"/>
      <w:marRight w:val="0"/>
      <w:marTop w:val="0"/>
      <w:marBottom w:val="0"/>
      <w:divBdr>
        <w:top w:val="none" w:sz="0" w:space="0" w:color="auto"/>
        <w:left w:val="none" w:sz="0" w:space="0" w:color="auto"/>
        <w:bottom w:val="none" w:sz="0" w:space="0" w:color="auto"/>
        <w:right w:val="none" w:sz="0" w:space="0" w:color="auto"/>
      </w:divBdr>
    </w:div>
    <w:div w:id="88628634">
      <w:bodyDiv w:val="1"/>
      <w:marLeft w:val="0"/>
      <w:marRight w:val="0"/>
      <w:marTop w:val="0"/>
      <w:marBottom w:val="0"/>
      <w:divBdr>
        <w:top w:val="none" w:sz="0" w:space="0" w:color="auto"/>
        <w:left w:val="none" w:sz="0" w:space="0" w:color="auto"/>
        <w:bottom w:val="none" w:sz="0" w:space="0" w:color="auto"/>
        <w:right w:val="none" w:sz="0" w:space="0" w:color="auto"/>
      </w:divBdr>
    </w:div>
    <w:div w:id="92677367">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98183732">
      <w:bodyDiv w:val="1"/>
      <w:marLeft w:val="0"/>
      <w:marRight w:val="0"/>
      <w:marTop w:val="0"/>
      <w:marBottom w:val="0"/>
      <w:divBdr>
        <w:top w:val="none" w:sz="0" w:space="0" w:color="auto"/>
        <w:left w:val="none" w:sz="0" w:space="0" w:color="auto"/>
        <w:bottom w:val="none" w:sz="0" w:space="0" w:color="auto"/>
        <w:right w:val="none" w:sz="0" w:space="0" w:color="auto"/>
      </w:divBdr>
    </w:div>
    <w:div w:id="101651369">
      <w:bodyDiv w:val="1"/>
      <w:marLeft w:val="0"/>
      <w:marRight w:val="0"/>
      <w:marTop w:val="0"/>
      <w:marBottom w:val="0"/>
      <w:divBdr>
        <w:top w:val="none" w:sz="0" w:space="0" w:color="auto"/>
        <w:left w:val="none" w:sz="0" w:space="0" w:color="auto"/>
        <w:bottom w:val="none" w:sz="0" w:space="0" w:color="auto"/>
        <w:right w:val="none" w:sz="0" w:space="0" w:color="auto"/>
      </w:divBdr>
    </w:div>
    <w:div w:id="104732508">
      <w:bodyDiv w:val="1"/>
      <w:marLeft w:val="0"/>
      <w:marRight w:val="0"/>
      <w:marTop w:val="0"/>
      <w:marBottom w:val="0"/>
      <w:divBdr>
        <w:top w:val="none" w:sz="0" w:space="0" w:color="auto"/>
        <w:left w:val="none" w:sz="0" w:space="0" w:color="auto"/>
        <w:bottom w:val="none" w:sz="0" w:space="0" w:color="auto"/>
        <w:right w:val="none" w:sz="0" w:space="0" w:color="auto"/>
      </w:divBdr>
    </w:div>
    <w:div w:id="107820673">
      <w:bodyDiv w:val="1"/>
      <w:marLeft w:val="0"/>
      <w:marRight w:val="0"/>
      <w:marTop w:val="0"/>
      <w:marBottom w:val="0"/>
      <w:divBdr>
        <w:top w:val="none" w:sz="0" w:space="0" w:color="auto"/>
        <w:left w:val="none" w:sz="0" w:space="0" w:color="auto"/>
        <w:bottom w:val="none" w:sz="0" w:space="0" w:color="auto"/>
        <w:right w:val="none" w:sz="0" w:space="0" w:color="auto"/>
      </w:divBdr>
      <w:divsChild>
        <w:div w:id="235746695">
          <w:marLeft w:val="1267"/>
          <w:marRight w:val="0"/>
          <w:marTop w:val="180"/>
          <w:marBottom w:val="0"/>
          <w:divBdr>
            <w:top w:val="none" w:sz="0" w:space="0" w:color="auto"/>
            <w:left w:val="none" w:sz="0" w:space="0" w:color="auto"/>
            <w:bottom w:val="none" w:sz="0" w:space="0" w:color="auto"/>
            <w:right w:val="none" w:sz="0" w:space="0" w:color="auto"/>
          </w:divBdr>
        </w:div>
        <w:div w:id="1615677175">
          <w:marLeft w:val="1267"/>
          <w:marRight w:val="0"/>
          <w:marTop w:val="180"/>
          <w:marBottom w:val="0"/>
          <w:divBdr>
            <w:top w:val="none" w:sz="0" w:space="0" w:color="auto"/>
            <w:left w:val="none" w:sz="0" w:space="0" w:color="auto"/>
            <w:bottom w:val="none" w:sz="0" w:space="0" w:color="auto"/>
            <w:right w:val="none" w:sz="0" w:space="0" w:color="auto"/>
          </w:divBdr>
        </w:div>
        <w:div w:id="1838110392">
          <w:marLeft w:val="1267"/>
          <w:marRight w:val="0"/>
          <w:marTop w:val="180"/>
          <w:marBottom w:val="0"/>
          <w:divBdr>
            <w:top w:val="none" w:sz="0" w:space="0" w:color="auto"/>
            <w:left w:val="none" w:sz="0" w:space="0" w:color="auto"/>
            <w:bottom w:val="none" w:sz="0" w:space="0" w:color="auto"/>
            <w:right w:val="none" w:sz="0" w:space="0" w:color="auto"/>
          </w:divBdr>
        </w:div>
      </w:divsChild>
    </w:div>
    <w:div w:id="110755883">
      <w:bodyDiv w:val="1"/>
      <w:marLeft w:val="0"/>
      <w:marRight w:val="0"/>
      <w:marTop w:val="0"/>
      <w:marBottom w:val="0"/>
      <w:divBdr>
        <w:top w:val="none" w:sz="0" w:space="0" w:color="auto"/>
        <w:left w:val="none" w:sz="0" w:space="0" w:color="auto"/>
        <w:bottom w:val="none" w:sz="0" w:space="0" w:color="auto"/>
        <w:right w:val="none" w:sz="0" w:space="0" w:color="auto"/>
      </w:divBdr>
    </w:div>
    <w:div w:id="111360723">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1902">
      <w:bodyDiv w:val="1"/>
      <w:marLeft w:val="0"/>
      <w:marRight w:val="0"/>
      <w:marTop w:val="0"/>
      <w:marBottom w:val="0"/>
      <w:divBdr>
        <w:top w:val="none" w:sz="0" w:space="0" w:color="auto"/>
        <w:left w:val="none" w:sz="0" w:space="0" w:color="auto"/>
        <w:bottom w:val="none" w:sz="0" w:space="0" w:color="auto"/>
        <w:right w:val="none" w:sz="0" w:space="0" w:color="auto"/>
      </w:divBdr>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8032214">
      <w:bodyDiv w:val="1"/>
      <w:marLeft w:val="0"/>
      <w:marRight w:val="0"/>
      <w:marTop w:val="0"/>
      <w:marBottom w:val="0"/>
      <w:divBdr>
        <w:top w:val="none" w:sz="0" w:space="0" w:color="auto"/>
        <w:left w:val="none" w:sz="0" w:space="0" w:color="auto"/>
        <w:bottom w:val="none" w:sz="0" w:space="0" w:color="auto"/>
        <w:right w:val="none" w:sz="0" w:space="0" w:color="auto"/>
      </w:divBdr>
    </w:div>
    <w:div w:id="123890531">
      <w:bodyDiv w:val="1"/>
      <w:marLeft w:val="0"/>
      <w:marRight w:val="0"/>
      <w:marTop w:val="0"/>
      <w:marBottom w:val="0"/>
      <w:divBdr>
        <w:top w:val="none" w:sz="0" w:space="0" w:color="auto"/>
        <w:left w:val="none" w:sz="0" w:space="0" w:color="auto"/>
        <w:bottom w:val="none" w:sz="0" w:space="0" w:color="auto"/>
        <w:right w:val="none" w:sz="0" w:space="0" w:color="auto"/>
      </w:divBdr>
    </w:div>
    <w:div w:id="124083707">
      <w:bodyDiv w:val="1"/>
      <w:marLeft w:val="0"/>
      <w:marRight w:val="0"/>
      <w:marTop w:val="0"/>
      <w:marBottom w:val="0"/>
      <w:divBdr>
        <w:top w:val="none" w:sz="0" w:space="0" w:color="auto"/>
        <w:left w:val="none" w:sz="0" w:space="0" w:color="auto"/>
        <w:bottom w:val="none" w:sz="0" w:space="0" w:color="auto"/>
        <w:right w:val="none" w:sz="0" w:space="0" w:color="auto"/>
      </w:divBdr>
      <w:divsChild>
        <w:div w:id="1456557527">
          <w:marLeft w:val="864"/>
          <w:marRight w:val="0"/>
          <w:marTop w:val="0"/>
          <w:marBottom w:val="0"/>
          <w:divBdr>
            <w:top w:val="none" w:sz="0" w:space="0" w:color="auto"/>
            <w:left w:val="none" w:sz="0" w:space="0" w:color="auto"/>
            <w:bottom w:val="none" w:sz="0" w:space="0" w:color="auto"/>
            <w:right w:val="none" w:sz="0" w:space="0" w:color="auto"/>
          </w:divBdr>
        </w:div>
        <w:div w:id="932200161">
          <w:marLeft w:val="864"/>
          <w:marRight w:val="0"/>
          <w:marTop w:val="120"/>
          <w:marBottom w:val="120"/>
          <w:divBdr>
            <w:top w:val="none" w:sz="0" w:space="0" w:color="auto"/>
            <w:left w:val="none" w:sz="0" w:space="0" w:color="auto"/>
            <w:bottom w:val="none" w:sz="0" w:space="0" w:color="auto"/>
            <w:right w:val="none" w:sz="0" w:space="0" w:color="auto"/>
          </w:divBdr>
        </w:div>
        <w:div w:id="1213038372">
          <w:marLeft w:val="864"/>
          <w:marRight w:val="0"/>
          <w:marTop w:val="120"/>
          <w:marBottom w:val="120"/>
          <w:divBdr>
            <w:top w:val="none" w:sz="0" w:space="0" w:color="auto"/>
            <w:left w:val="none" w:sz="0" w:space="0" w:color="auto"/>
            <w:bottom w:val="none" w:sz="0" w:space="0" w:color="auto"/>
            <w:right w:val="none" w:sz="0" w:space="0" w:color="auto"/>
          </w:divBdr>
        </w:div>
        <w:div w:id="782073278">
          <w:marLeft w:val="864"/>
          <w:marRight w:val="0"/>
          <w:marTop w:val="120"/>
          <w:marBottom w:val="120"/>
          <w:divBdr>
            <w:top w:val="none" w:sz="0" w:space="0" w:color="auto"/>
            <w:left w:val="none" w:sz="0" w:space="0" w:color="auto"/>
            <w:bottom w:val="none" w:sz="0" w:space="0" w:color="auto"/>
            <w:right w:val="none" w:sz="0" w:space="0" w:color="auto"/>
          </w:divBdr>
        </w:div>
      </w:divsChild>
    </w:div>
    <w:div w:id="124200159">
      <w:bodyDiv w:val="1"/>
      <w:marLeft w:val="0"/>
      <w:marRight w:val="0"/>
      <w:marTop w:val="0"/>
      <w:marBottom w:val="0"/>
      <w:divBdr>
        <w:top w:val="none" w:sz="0" w:space="0" w:color="auto"/>
        <w:left w:val="none" w:sz="0" w:space="0" w:color="auto"/>
        <w:bottom w:val="none" w:sz="0" w:space="0" w:color="auto"/>
        <w:right w:val="none" w:sz="0" w:space="0" w:color="auto"/>
      </w:divBdr>
    </w:div>
    <w:div w:id="132867273">
      <w:bodyDiv w:val="1"/>
      <w:marLeft w:val="0"/>
      <w:marRight w:val="0"/>
      <w:marTop w:val="0"/>
      <w:marBottom w:val="0"/>
      <w:divBdr>
        <w:top w:val="none" w:sz="0" w:space="0" w:color="auto"/>
        <w:left w:val="none" w:sz="0" w:space="0" w:color="auto"/>
        <w:bottom w:val="none" w:sz="0" w:space="0" w:color="auto"/>
        <w:right w:val="none" w:sz="0" w:space="0" w:color="auto"/>
      </w:divBdr>
    </w:div>
    <w:div w:id="133987232">
      <w:bodyDiv w:val="1"/>
      <w:marLeft w:val="0"/>
      <w:marRight w:val="0"/>
      <w:marTop w:val="0"/>
      <w:marBottom w:val="0"/>
      <w:divBdr>
        <w:top w:val="none" w:sz="0" w:space="0" w:color="auto"/>
        <w:left w:val="none" w:sz="0" w:space="0" w:color="auto"/>
        <w:bottom w:val="none" w:sz="0" w:space="0" w:color="auto"/>
        <w:right w:val="none" w:sz="0" w:space="0" w:color="auto"/>
      </w:divBdr>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748160">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148519108">
      <w:bodyDiv w:val="1"/>
      <w:marLeft w:val="0"/>
      <w:marRight w:val="0"/>
      <w:marTop w:val="0"/>
      <w:marBottom w:val="0"/>
      <w:divBdr>
        <w:top w:val="none" w:sz="0" w:space="0" w:color="auto"/>
        <w:left w:val="none" w:sz="0" w:space="0" w:color="auto"/>
        <w:bottom w:val="none" w:sz="0" w:space="0" w:color="auto"/>
        <w:right w:val="none" w:sz="0" w:space="0" w:color="auto"/>
      </w:divBdr>
    </w:div>
    <w:div w:id="150758791">
      <w:bodyDiv w:val="1"/>
      <w:marLeft w:val="0"/>
      <w:marRight w:val="0"/>
      <w:marTop w:val="0"/>
      <w:marBottom w:val="0"/>
      <w:divBdr>
        <w:top w:val="none" w:sz="0" w:space="0" w:color="auto"/>
        <w:left w:val="none" w:sz="0" w:space="0" w:color="auto"/>
        <w:bottom w:val="none" w:sz="0" w:space="0" w:color="auto"/>
        <w:right w:val="none" w:sz="0" w:space="0" w:color="auto"/>
      </w:divBdr>
    </w:div>
    <w:div w:id="154227948">
      <w:bodyDiv w:val="1"/>
      <w:marLeft w:val="0"/>
      <w:marRight w:val="0"/>
      <w:marTop w:val="0"/>
      <w:marBottom w:val="0"/>
      <w:divBdr>
        <w:top w:val="none" w:sz="0" w:space="0" w:color="auto"/>
        <w:left w:val="none" w:sz="0" w:space="0" w:color="auto"/>
        <w:bottom w:val="none" w:sz="0" w:space="0" w:color="auto"/>
        <w:right w:val="none" w:sz="0" w:space="0" w:color="auto"/>
      </w:divBdr>
    </w:div>
    <w:div w:id="156385290">
      <w:bodyDiv w:val="1"/>
      <w:marLeft w:val="0"/>
      <w:marRight w:val="0"/>
      <w:marTop w:val="0"/>
      <w:marBottom w:val="0"/>
      <w:divBdr>
        <w:top w:val="none" w:sz="0" w:space="0" w:color="auto"/>
        <w:left w:val="none" w:sz="0" w:space="0" w:color="auto"/>
        <w:bottom w:val="none" w:sz="0" w:space="0" w:color="auto"/>
        <w:right w:val="none" w:sz="0" w:space="0" w:color="auto"/>
      </w:divBdr>
    </w:div>
    <w:div w:id="184295561">
      <w:bodyDiv w:val="1"/>
      <w:marLeft w:val="0"/>
      <w:marRight w:val="0"/>
      <w:marTop w:val="0"/>
      <w:marBottom w:val="0"/>
      <w:divBdr>
        <w:top w:val="none" w:sz="0" w:space="0" w:color="auto"/>
        <w:left w:val="none" w:sz="0" w:space="0" w:color="auto"/>
        <w:bottom w:val="none" w:sz="0" w:space="0" w:color="auto"/>
        <w:right w:val="none" w:sz="0" w:space="0" w:color="auto"/>
      </w:divBdr>
    </w:div>
    <w:div w:id="193427830">
      <w:bodyDiv w:val="1"/>
      <w:marLeft w:val="0"/>
      <w:marRight w:val="0"/>
      <w:marTop w:val="0"/>
      <w:marBottom w:val="0"/>
      <w:divBdr>
        <w:top w:val="none" w:sz="0" w:space="0" w:color="auto"/>
        <w:left w:val="none" w:sz="0" w:space="0" w:color="auto"/>
        <w:bottom w:val="none" w:sz="0" w:space="0" w:color="auto"/>
        <w:right w:val="none" w:sz="0" w:space="0" w:color="auto"/>
      </w:divBdr>
    </w:div>
    <w:div w:id="205065008">
      <w:bodyDiv w:val="1"/>
      <w:marLeft w:val="0"/>
      <w:marRight w:val="0"/>
      <w:marTop w:val="0"/>
      <w:marBottom w:val="0"/>
      <w:divBdr>
        <w:top w:val="none" w:sz="0" w:space="0" w:color="auto"/>
        <w:left w:val="none" w:sz="0" w:space="0" w:color="auto"/>
        <w:bottom w:val="none" w:sz="0" w:space="0" w:color="auto"/>
        <w:right w:val="none" w:sz="0" w:space="0" w:color="auto"/>
      </w:divBdr>
    </w:div>
    <w:div w:id="211160317">
      <w:bodyDiv w:val="1"/>
      <w:marLeft w:val="0"/>
      <w:marRight w:val="0"/>
      <w:marTop w:val="0"/>
      <w:marBottom w:val="0"/>
      <w:divBdr>
        <w:top w:val="none" w:sz="0" w:space="0" w:color="auto"/>
        <w:left w:val="none" w:sz="0" w:space="0" w:color="auto"/>
        <w:bottom w:val="none" w:sz="0" w:space="0" w:color="auto"/>
        <w:right w:val="none" w:sz="0" w:space="0" w:color="auto"/>
      </w:divBdr>
    </w:div>
    <w:div w:id="216625319">
      <w:bodyDiv w:val="1"/>
      <w:marLeft w:val="0"/>
      <w:marRight w:val="0"/>
      <w:marTop w:val="0"/>
      <w:marBottom w:val="0"/>
      <w:divBdr>
        <w:top w:val="none" w:sz="0" w:space="0" w:color="auto"/>
        <w:left w:val="none" w:sz="0" w:space="0" w:color="auto"/>
        <w:bottom w:val="none" w:sz="0" w:space="0" w:color="auto"/>
        <w:right w:val="none" w:sz="0" w:space="0" w:color="auto"/>
      </w:divBdr>
    </w:div>
    <w:div w:id="216743848">
      <w:bodyDiv w:val="1"/>
      <w:marLeft w:val="0"/>
      <w:marRight w:val="0"/>
      <w:marTop w:val="0"/>
      <w:marBottom w:val="0"/>
      <w:divBdr>
        <w:top w:val="none" w:sz="0" w:space="0" w:color="auto"/>
        <w:left w:val="none" w:sz="0" w:space="0" w:color="auto"/>
        <w:bottom w:val="none" w:sz="0" w:space="0" w:color="auto"/>
        <w:right w:val="none" w:sz="0" w:space="0" w:color="auto"/>
      </w:divBdr>
    </w:div>
    <w:div w:id="216942017">
      <w:bodyDiv w:val="1"/>
      <w:marLeft w:val="0"/>
      <w:marRight w:val="0"/>
      <w:marTop w:val="0"/>
      <w:marBottom w:val="0"/>
      <w:divBdr>
        <w:top w:val="none" w:sz="0" w:space="0" w:color="auto"/>
        <w:left w:val="none" w:sz="0" w:space="0" w:color="auto"/>
        <w:bottom w:val="none" w:sz="0" w:space="0" w:color="auto"/>
        <w:right w:val="none" w:sz="0" w:space="0" w:color="auto"/>
      </w:divBdr>
    </w:div>
    <w:div w:id="218513068">
      <w:bodyDiv w:val="1"/>
      <w:marLeft w:val="0"/>
      <w:marRight w:val="0"/>
      <w:marTop w:val="0"/>
      <w:marBottom w:val="0"/>
      <w:divBdr>
        <w:top w:val="none" w:sz="0" w:space="0" w:color="auto"/>
        <w:left w:val="none" w:sz="0" w:space="0" w:color="auto"/>
        <w:bottom w:val="none" w:sz="0" w:space="0" w:color="auto"/>
        <w:right w:val="none" w:sz="0" w:space="0" w:color="auto"/>
      </w:divBdr>
    </w:div>
    <w:div w:id="222717989">
      <w:bodyDiv w:val="1"/>
      <w:marLeft w:val="0"/>
      <w:marRight w:val="0"/>
      <w:marTop w:val="0"/>
      <w:marBottom w:val="0"/>
      <w:divBdr>
        <w:top w:val="none" w:sz="0" w:space="0" w:color="auto"/>
        <w:left w:val="none" w:sz="0" w:space="0" w:color="auto"/>
        <w:bottom w:val="none" w:sz="0" w:space="0" w:color="auto"/>
        <w:right w:val="none" w:sz="0" w:space="0" w:color="auto"/>
      </w:divBdr>
    </w:div>
    <w:div w:id="225380926">
      <w:bodyDiv w:val="1"/>
      <w:marLeft w:val="0"/>
      <w:marRight w:val="0"/>
      <w:marTop w:val="0"/>
      <w:marBottom w:val="0"/>
      <w:divBdr>
        <w:top w:val="none" w:sz="0" w:space="0" w:color="auto"/>
        <w:left w:val="none" w:sz="0" w:space="0" w:color="auto"/>
        <w:bottom w:val="none" w:sz="0" w:space="0" w:color="auto"/>
        <w:right w:val="none" w:sz="0" w:space="0" w:color="auto"/>
      </w:divBdr>
    </w:div>
    <w:div w:id="242643138">
      <w:bodyDiv w:val="1"/>
      <w:marLeft w:val="0"/>
      <w:marRight w:val="0"/>
      <w:marTop w:val="0"/>
      <w:marBottom w:val="0"/>
      <w:divBdr>
        <w:top w:val="none" w:sz="0" w:space="0" w:color="auto"/>
        <w:left w:val="none" w:sz="0" w:space="0" w:color="auto"/>
        <w:bottom w:val="none" w:sz="0" w:space="0" w:color="auto"/>
        <w:right w:val="none" w:sz="0" w:space="0" w:color="auto"/>
      </w:divBdr>
    </w:div>
    <w:div w:id="244807121">
      <w:bodyDiv w:val="1"/>
      <w:marLeft w:val="0"/>
      <w:marRight w:val="0"/>
      <w:marTop w:val="0"/>
      <w:marBottom w:val="0"/>
      <w:divBdr>
        <w:top w:val="none" w:sz="0" w:space="0" w:color="auto"/>
        <w:left w:val="none" w:sz="0" w:space="0" w:color="auto"/>
        <w:bottom w:val="none" w:sz="0" w:space="0" w:color="auto"/>
        <w:right w:val="none" w:sz="0" w:space="0" w:color="auto"/>
      </w:divBdr>
    </w:div>
    <w:div w:id="251744461">
      <w:bodyDiv w:val="1"/>
      <w:marLeft w:val="0"/>
      <w:marRight w:val="0"/>
      <w:marTop w:val="0"/>
      <w:marBottom w:val="0"/>
      <w:divBdr>
        <w:top w:val="none" w:sz="0" w:space="0" w:color="auto"/>
        <w:left w:val="none" w:sz="0" w:space="0" w:color="auto"/>
        <w:bottom w:val="none" w:sz="0" w:space="0" w:color="auto"/>
        <w:right w:val="none" w:sz="0" w:space="0" w:color="auto"/>
      </w:divBdr>
    </w:div>
    <w:div w:id="256597074">
      <w:bodyDiv w:val="1"/>
      <w:marLeft w:val="0"/>
      <w:marRight w:val="0"/>
      <w:marTop w:val="0"/>
      <w:marBottom w:val="0"/>
      <w:divBdr>
        <w:top w:val="none" w:sz="0" w:space="0" w:color="auto"/>
        <w:left w:val="none" w:sz="0" w:space="0" w:color="auto"/>
        <w:bottom w:val="none" w:sz="0" w:space="0" w:color="auto"/>
        <w:right w:val="none" w:sz="0" w:space="0" w:color="auto"/>
      </w:divBdr>
    </w:div>
    <w:div w:id="266080490">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73558667">
      <w:bodyDiv w:val="1"/>
      <w:marLeft w:val="0"/>
      <w:marRight w:val="0"/>
      <w:marTop w:val="0"/>
      <w:marBottom w:val="0"/>
      <w:divBdr>
        <w:top w:val="none" w:sz="0" w:space="0" w:color="auto"/>
        <w:left w:val="none" w:sz="0" w:space="0" w:color="auto"/>
        <w:bottom w:val="none" w:sz="0" w:space="0" w:color="auto"/>
        <w:right w:val="none" w:sz="0" w:space="0" w:color="auto"/>
      </w:divBdr>
    </w:div>
    <w:div w:id="274406100">
      <w:bodyDiv w:val="1"/>
      <w:marLeft w:val="0"/>
      <w:marRight w:val="0"/>
      <w:marTop w:val="0"/>
      <w:marBottom w:val="0"/>
      <w:divBdr>
        <w:top w:val="none" w:sz="0" w:space="0" w:color="auto"/>
        <w:left w:val="none" w:sz="0" w:space="0" w:color="auto"/>
        <w:bottom w:val="none" w:sz="0" w:space="0" w:color="auto"/>
        <w:right w:val="none" w:sz="0" w:space="0" w:color="auto"/>
      </w:divBdr>
    </w:div>
    <w:div w:id="275328967">
      <w:bodyDiv w:val="1"/>
      <w:marLeft w:val="0"/>
      <w:marRight w:val="0"/>
      <w:marTop w:val="0"/>
      <w:marBottom w:val="0"/>
      <w:divBdr>
        <w:top w:val="none" w:sz="0" w:space="0" w:color="auto"/>
        <w:left w:val="none" w:sz="0" w:space="0" w:color="auto"/>
        <w:bottom w:val="none" w:sz="0" w:space="0" w:color="auto"/>
        <w:right w:val="none" w:sz="0" w:space="0" w:color="auto"/>
      </w:divBdr>
    </w:div>
    <w:div w:id="277107951">
      <w:bodyDiv w:val="1"/>
      <w:marLeft w:val="0"/>
      <w:marRight w:val="0"/>
      <w:marTop w:val="0"/>
      <w:marBottom w:val="0"/>
      <w:divBdr>
        <w:top w:val="none" w:sz="0" w:space="0" w:color="auto"/>
        <w:left w:val="none" w:sz="0" w:space="0" w:color="auto"/>
        <w:bottom w:val="none" w:sz="0" w:space="0" w:color="auto"/>
        <w:right w:val="none" w:sz="0" w:space="0" w:color="auto"/>
      </w:divBdr>
    </w:div>
    <w:div w:id="287325679">
      <w:bodyDiv w:val="1"/>
      <w:marLeft w:val="0"/>
      <w:marRight w:val="0"/>
      <w:marTop w:val="0"/>
      <w:marBottom w:val="0"/>
      <w:divBdr>
        <w:top w:val="none" w:sz="0" w:space="0" w:color="auto"/>
        <w:left w:val="none" w:sz="0" w:space="0" w:color="auto"/>
        <w:bottom w:val="none" w:sz="0" w:space="0" w:color="auto"/>
        <w:right w:val="none" w:sz="0" w:space="0" w:color="auto"/>
      </w:divBdr>
    </w:div>
    <w:div w:id="288556689">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404663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06858110">
      <w:bodyDiv w:val="1"/>
      <w:marLeft w:val="0"/>
      <w:marRight w:val="0"/>
      <w:marTop w:val="0"/>
      <w:marBottom w:val="0"/>
      <w:divBdr>
        <w:top w:val="none" w:sz="0" w:space="0" w:color="auto"/>
        <w:left w:val="none" w:sz="0" w:space="0" w:color="auto"/>
        <w:bottom w:val="none" w:sz="0" w:space="0" w:color="auto"/>
        <w:right w:val="none" w:sz="0" w:space="0" w:color="auto"/>
      </w:divBdr>
    </w:div>
    <w:div w:id="314527453">
      <w:bodyDiv w:val="1"/>
      <w:marLeft w:val="0"/>
      <w:marRight w:val="0"/>
      <w:marTop w:val="0"/>
      <w:marBottom w:val="0"/>
      <w:divBdr>
        <w:top w:val="none" w:sz="0" w:space="0" w:color="auto"/>
        <w:left w:val="none" w:sz="0" w:space="0" w:color="auto"/>
        <w:bottom w:val="none" w:sz="0" w:space="0" w:color="auto"/>
        <w:right w:val="none" w:sz="0" w:space="0" w:color="auto"/>
      </w:divBdr>
    </w:div>
    <w:div w:id="319891729">
      <w:bodyDiv w:val="1"/>
      <w:marLeft w:val="0"/>
      <w:marRight w:val="0"/>
      <w:marTop w:val="0"/>
      <w:marBottom w:val="0"/>
      <w:divBdr>
        <w:top w:val="none" w:sz="0" w:space="0" w:color="auto"/>
        <w:left w:val="none" w:sz="0" w:space="0" w:color="auto"/>
        <w:bottom w:val="none" w:sz="0" w:space="0" w:color="auto"/>
        <w:right w:val="none" w:sz="0" w:space="0" w:color="auto"/>
      </w:divBdr>
    </w:div>
    <w:div w:id="320087800">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647027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7025005">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2025960">
      <w:bodyDiv w:val="1"/>
      <w:marLeft w:val="0"/>
      <w:marRight w:val="0"/>
      <w:marTop w:val="0"/>
      <w:marBottom w:val="0"/>
      <w:divBdr>
        <w:top w:val="none" w:sz="0" w:space="0" w:color="auto"/>
        <w:left w:val="none" w:sz="0" w:space="0" w:color="auto"/>
        <w:bottom w:val="none" w:sz="0" w:space="0" w:color="auto"/>
        <w:right w:val="none" w:sz="0" w:space="0" w:color="auto"/>
      </w:divBdr>
    </w:div>
    <w:div w:id="362680204">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377512123">
      <w:bodyDiv w:val="1"/>
      <w:marLeft w:val="0"/>
      <w:marRight w:val="0"/>
      <w:marTop w:val="0"/>
      <w:marBottom w:val="0"/>
      <w:divBdr>
        <w:top w:val="none" w:sz="0" w:space="0" w:color="auto"/>
        <w:left w:val="none" w:sz="0" w:space="0" w:color="auto"/>
        <w:bottom w:val="none" w:sz="0" w:space="0" w:color="auto"/>
        <w:right w:val="none" w:sz="0" w:space="0" w:color="auto"/>
      </w:divBdr>
    </w:div>
    <w:div w:id="384253938">
      <w:bodyDiv w:val="1"/>
      <w:marLeft w:val="0"/>
      <w:marRight w:val="0"/>
      <w:marTop w:val="0"/>
      <w:marBottom w:val="0"/>
      <w:divBdr>
        <w:top w:val="none" w:sz="0" w:space="0" w:color="auto"/>
        <w:left w:val="none" w:sz="0" w:space="0" w:color="auto"/>
        <w:bottom w:val="none" w:sz="0" w:space="0" w:color="auto"/>
        <w:right w:val="none" w:sz="0" w:space="0" w:color="auto"/>
      </w:divBdr>
    </w:div>
    <w:div w:id="384304137">
      <w:bodyDiv w:val="1"/>
      <w:marLeft w:val="0"/>
      <w:marRight w:val="0"/>
      <w:marTop w:val="0"/>
      <w:marBottom w:val="0"/>
      <w:divBdr>
        <w:top w:val="none" w:sz="0" w:space="0" w:color="auto"/>
        <w:left w:val="none" w:sz="0" w:space="0" w:color="auto"/>
        <w:bottom w:val="none" w:sz="0" w:space="0" w:color="auto"/>
        <w:right w:val="none" w:sz="0" w:space="0" w:color="auto"/>
      </w:divBdr>
    </w:div>
    <w:div w:id="384643315">
      <w:bodyDiv w:val="1"/>
      <w:marLeft w:val="0"/>
      <w:marRight w:val="0"/>
      <w:marTop w:val="0"/>
      <w:marBottom w:val="0"/>
      <w:divBdr>
        <w:top w:val="none" w:sz="0" w:space="0" w:color="auto"/>
        <w:left w:val="none" w:sz="0" w:space="0" w:color="auto"/>
        <w:bottom w:val="none" w:sz="0" w:space="0" w:color="auto"/>
        <w:right w:val="none" w:sz="0" w:space="0" w:color="auto"/>
      </w:divBdr>
    </w:div>
    <w:div w:id="385447292">
      <w:bodyDiv w:val="1"/>
      <w:marLeft w:val="0"/>
      <w:marRight w:val="0"/>
      <w:marTop w:val="0"/>
      <w:marBottom w:val="0"/>
      <w:divBdr>
        <w:top w:val="none" w:sz="0" w:space="0" w:color="auto"/>
        <w:left w:val="none" w:sz="0" w:space="0" w:color="auto"/>
        <w:bottom w:val="none" w:sz="0" w:space="0" w:color="auto"/>
        <w:right w:val="none" w:sz="0" w:space="0" w:color="auto"/>
      </w:divBdr>
      <w:divsChild>
        <w:div w:id="1532693775">
          <w:marLeft w:val="360"/>
          <w:marRight w:val="0"/>
          <w:marTop w:val="200"/>
          <w:marBottom w:val="0"/>
          <w:divBdr>
            <w:top w:val="none" w:sz="0" w:space="0" w:color="auto"/>
            <w:left w:val="none" w:sz="0" w:space="0" w:color="auto"/>
            <w:bottom w:val="none" w:sz="0" w:space="0" w:color="auto"/>
            <w:right w:val="none" w:sz="0" w:space="0" w:color="auto"/>
          </w:divBdr>
        </w:div>
      </w:divsChild>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09079573">
      <w:bodyDiv w:val="1"/>
      <w:marLeft w:val="0"/>
      <w:marRight w:val="0"/>
      <w:marTop w:val="0"/>
      <w:marBottom w:val="0"/>
      <w:divBdr>
        <w:top w:val="none" w:sz="0" w:space="0" w:color="auto"/>
        <w:left w:val="none" w:sz="0" w:space="0" w:color="auto"/>
        <w:bottom w:val="none" w:sz="0" w:space="0" w:color="auto"/>
        <w:right w:val="none" w:sz="0" w:space="0" w:color="auto"/>
      </w:divBdr>
    </w:div>
    <w:div w:id="410590032">
      <w:bodyDiv w:val="1"/>
      <w:marLeft w:val="0"/>
      <w:marRight w:val="0"/>
      <w:marTop w:val="0"/>
      <w:marBottom w:val="0"/>
      <w:divBdr>
        <w:top w:val="none" w:sz="0" w:space="0" w:color="auto"/>
        <w:left w:val="none" w:sz="0" w:space="0" w:color="auto"/>
        <w:bottom w:val="none" w:sz="0" w:space="0" w:color="auto"/>
        <w:right w:val="none" w:sz="0" w:space="0" w:color="auto"/>
      </w:divBdr>
    </w:div>
    <w:div w:id="428547660">
      <w:bodyDiv w:val="1"/>
      <w:marLeft w:val="0"/>
      <w:marRight w:val="0"/>
      <w:marTop w:val="0"/>
      <w:marBottom w:val="0"/>
      <w:divBdr>
        <w:top w:val="none" w:sz="0" w:space="0" w:color="auto"/>
        <w:left w:val="none" w:sz="0" w:space="0" w:color="auto"/>
        <w:bottom w:val="none" w:sz="0" w:space="0" w:color="auto"/>
        <w:right w:val="none" w:sz="0" w:space="0" w:color="auto"/>
      </w:divBdr>
    </w:div>
    <w:div w:id="434636909">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39226889">
      <w:bodyDiv w:val="1"/>
      <w:marLeft w:val="0"/>
      <w:marRight w:val="0"/>
      <w:marTop w:val="0"/>
      <w:marBottom w:val="0"/>
      <w:divBdr>
        <w:top w:val="none" w:sz="0" w:space="0" w:color="auto"/>
        <w:left w:val="none" w:sz="0" w:space="0" w:color="auto"/>
        <w:bottom w:val="none" w:sz="0" w:space="0" w:color="auto"/>
        <w:right w:val="none" w:sz="0" w:space="0" w:color="auto"/>
      </w:divBdr>
      <w:divsChild>
        <w:div w:id="1712413330">
          <w:marLeft w:val="1080"/>
          <w:marRight w:val="0"/>
          <w:marTop w:val="100"/>
          <w:marBottom w:val="0"/>
          <w:divBdr>
            <w:top w:val="none" w:sz="0" w:space="0" w:color="auto"/>
            <w:left w:val="none" w:sz="0" w:space="0" w:color="auto"/>
            <w:bottom w:val="none" w:sz="0" w:space="0" w:color="auto"/>
            <w:right w:val="none" w:sz="0" w:space="0" w:color="auto"/>
          </w:divBdr>
        </w:div>
        <w:div w:id="1741638692">
          <w:marLeft w:val="1800"/>
          <w:marRight w:val="0"/>
          <w:marTop w:val="100"/>
          <w:marBottom w:val="0"/>
          <w:divBdr>
            <w:top w:val="none" w:sz="0" w:space="0" w:color="auto"/>
            <w:left w:val="none" w:sz="0" w:space="0" w:color="auto"/>
            <w:bottom w:val="none" w:sz="0" w:space="0" w:color="auto"/>
            <w:right w:val="none" w:sz="0" w:space="0" w:color="auto"/>
          </w:divBdr>
        </w:div>
      </w:divsChild>
    </w:div>
    <w:div w:id="441343342">
      <w:bodyDiv w:val="1"/>
      <w:marLeft w:val="0"/>
      <w:marRight w:val="0"/>
      <w:marTop w:val="0"/>
      <w:marBottom w:val="0"/>
      <w:divBdr>
        <w:top w:val="none" w:sz="0" w:space="0" w:color="auto"/>
        <w:left w:val="none" w:sz="0" w:space="0" w:color="auto"/>
        <w:bottom w:val="none" w:sz="0" w:space="0" w:color="auto"/>
        <w:right w:val="none" w:sz="0" w:space="0" w:color="auto"/>
      </w:divBdr>
    </w:div>
    <w:div w:id="443620677">
      <w:bodyDiv w:val="1"/>
      <w:marLeft w:val="0"/>
      <w:marRight w:val="0"/>
      <w:marTop w:val="0"/>
      <w:marBottom w:val="0"/>
      <w:divBdr>
        <w:top w:val="none" w:sz="0" w:space="0" w:color="auto"/>
        <w:left w:val="none" w:sz="0" w:space="0" w:color="auto"/>
        <w:bottom w:val="none" w:sz="0" w:space="0" w:color="auto"/>
        <w:right w:val="none" w:sz="0" w:space="0" w:color="auto"/>
      </w:divBdr>
    </w:div>
    <w:div w:id="454058633">
      <w:bodyDiv w:val="1"/>
      <w:marLeft w:val="0"/>
      <w:marRight w:val="0"/>
      <w:marTop w:val="0"/>
      <w:marBottom w:val="0"/>
      <w:divBdr>
        <w:top w:val="none" w:sz="0" w:space="0" w:color="auto"/>
        <w:left w:val="none" w:sz="0" w:space="0" w:color="auto"/>
        <w:bottom w:val="none" w:sz="0" w:space="0" w:color="auto"/>
        <w:right w:val="none" w:sz="0" w:space="0" w:color="auto"/>
      </w:divBdr>
    </w:div>
    <w:div w:id="454064944">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56683862">
      <w:bodyDiv w:val="1"/>
      <w:marLeft w:val="0"/>
      <w:marRight w:val="0"/>
      <w:marTop w:val="0"/>
      <w:marBottom w:val="0"/>
      <w:divBdr>
        <w:top w:val="none" w:sz="0" w:space="0" w:color="auto"/>
        <w:left w:val="none" w:sz="0" w:space="0" w:color="auto"/>
        <w:bottom w:val="none" w:sz="0" w:space="0" w:color="auto"/>
        <w:right w:val="none" w:sz="0" w:space="0" w:color="auto"/>
      </w:divBdr>
    </w:div>
    <w:div w:id="458912097">
      <w:bodyDiv w:val="1"/>
      <w:marLeft w:val="0"/>
      <w:marRight w:val="0"/>
      <w:marTop w:val="0"/>
      <w:marBottom w:val="0"/>
      <w:divBdr>
        <w:top w:val="none" w:sz="0" w:space="0" w:color="auto"/>
        <w:left w:val="none" w:sz="0" w:space="0" w:color="auto"/>
        <w:bottom w:val="none" w:sz="0" w:space="0" w:color="auto"/>
        <w:right w:val="none" w:sz="0" w:space="0" w:color="auto"/>
      </w:divBdr>
    </w:div>
    <w:div w:id="461579018">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75881810">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85515094">
      <w:bodyDiv w:val="1"/>
      <w:marLeft w:val="0"/>
      <w:marRight w:val="0"/>
      <w:marTop w:val="0"/>
      <w:marBottom w:val="0"/>
      <w:divBdr>
        <w:top w:val="none" w:sz="0" w:space="0" w:color="auto"/>
        <w:left w:val="none" w:sz="0" w:space="0" w:color="auto"/>
        <w:bottom w:val="none" w:sz="0" w:space="0" w:color="auto"/>
        <w:right w:val="none" w:sz="0" w:space="0" w:color="auto"/>
      </w:divBdr>
    </w:div>
    <w:div w:id="486244219">
      <w:bodyDiv w:val="1"/>
      <w:marLeft w:val="0"/>
      <w:marRight w:val="0"/>
      <w:marTop w:val="0"/>
      <w:marBottom w:val="0"/>
      <w:divBdr>
        <w:top w:val="none" w:sz="0" w:space="0" w:color="auto"/>
        <w:left w:val="none" w:sz="0" w:space="0" w:color="auto"/>
        <w:bottom w:val="none" w:sz="0" w:space="0" w:color="auto"/>
        <w:right w:val="none" w:sz="0" w:space="0" w:color="auto"/>
      </w:divBdr>
      <w:divsChild>
        <w:div w:id="1517887751">
          <w:marLeft w:val="1166"/>
          <w:marRight w:val="0"/>
          <w:marTop w:val="0"/>
          <w:marBottom w:val="0"/>
          <w:divBdr>
            <w:top w:val="none" w:sz="0" w:space="0" w:color="auto"/>
            <w:left w:val="none" w:sz="0" w:space="0" w:color="auto"/>
            <w:bottom w:val="none" w:sz="0" w:space="0" w:color="auto"/>
            <w:right w:val="none" w:sz="0" w:space="0" w:color="auto"/>
          </w:divBdr>
        </w:div>
      </w:divsChild>
    </w:div>
    <w:div w:id="492182806">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00242635">
      <w:bodyDiv w:val="1"/>
      <w:marLeft w:val="0"/>
      <w:marRight w:val="0"/>
      <w:marTop w:val="0"/>
      <w:marBottom w:val="0"/>
      <w:divBdr>
        <w:top w:val="none" w:sz="0" w:space="0" w:color="auto"/>
        <w:left w:val="none" w:sz="0" w:space="0" w:color="auto"/>
        <w:bottom w:val="none" w:sz="0" w:space="0" w:color="auto"/>
        <w:right w:val="none" w:sz="0" w:space="0" w:color="auto"/>
      </w:divBdr>
    </w:div>
    <w:div w:id="517233026">
      <w:bodyDiv w:val="1"/>
      <w:marLeft w:val="0"/>
      <w:marRight w:val="0"/>
      <w:marTop w:val="0"/>
      <w:marBottom w:val="0"/>
      <w:divBdr>
        <w:top w:val="none" w:sz="0" w:space="0" w:color="auto"/>
        <w:left w:val="none" w:sz="0" w:space="0" w:color="auto"/>
        <w:bottom w:val="none" w:sz="0" w:space="0" w:color="auto"/>
        <w:right w:val="none" w:sz="0" w:space="0" w:color="auto"/>
      </w:divBdr>
    </w:div>
    <w:div w:id="525753692">
      <w:bodyDiv w:val="1"/>
      <w:marLeft w:val="0"/>
      <w:marRight w:val="0"/>
      <w:marTop w:val="0"/>
      <w:marBottom w:val="0"/>
      <w:divBdr>
        <w:top w:val="none" w:sz="0" w:space="0" w:color="auto"/>
        <w:left w:val="none" w:sz="0" w:space="0" w:color="auto"/>
        <w:bottom w:val="none" w:sz="0" w:space="0" w:color="auto"/>
        <w:right w:val="none" w:sz="0" w:space="0" w:color="auto"/>
      </w:divBdr>
    </w:div>
    <w:div w:id="526216624">
      <w:bodyDiv w:val="1"/>
      <w:marLeft w:val="0"/>
      <w:marRight w:val="0"/>
      <w:marTop w:val="0"/>
      <w:marBottom w:val="0"/>
      <w:divBdr>
        <w:top w:val="none" w:sz="0" w:space="0" w:color="auto"/>
        <w:left w:val="none" w:sz="0" w:space="0" w:color="auto"/>
        <w:bottom w:val="none" w:sz="0" w:space="0" w:color="auto"/>
        <w:right w:val="none" w:sz="0" w:space="0" w:color="auto"/>
      </w:divBdr>
    </w:div>
    <w:div w:id="531454481">
      <w:bodyDiv w:val="1"/>
      <w:marLeft w:val="0"/>
      <w:marRight w:val="0"/>
      <w:marTop w:val="0"/>
      <w:marBottom w:val="0"/>
      <w:divBdr>
        <w:top w:val="none" w:sz="0" w:space="0" w:color="auto"/>
        <w:left w:val="none" w:sz="0" w:space="0" w:color="auto"/>
        <w:bottom w:val="none" w:sz="0" w:space="0" w:color="auto"/>
        <w:right w:val="none" w:sz="0" w:space="0" w:color="auto"/>
      </w:divBdr>
    </w:div>
    <w:div w:id="533618937">
      <w:bodyDiv w:val="1"/>
      <w:marLeft w:val="0"/>
      <w:marRight w:val="0"/>
      <w:marTop w:val="0"/>
      <w:marBottom w:val="0"/>
      <w:divBdr>
        <w:top w:val="none" w:sz="0" w:space="0" w:color="auto"/>
        <w:left w:val="none" w:sz="0" w:space="0" w:color="auto"/>
        <w:bottom w:val="none" w:sz="0" w:space="0" w:color="auto"/>
        <w:right w:val="none" w:sz="0" w:space="0" w:color="auto"/>
      </w:divBdr>
    </w:div>
    <w:div w:id="536429650">
      <w:bodyDiv w:val="1"/>
      <w:marLeft w:val="0"/>
      <w:marRight w:val="0"/>
      <w:marTop w:val="0"/>
      <w:marBottom w:val="0"/>
      <w:divBdr>
        <w:top w:val="none" w:sz="0" w:space="0" w:color="auto"/>
        <w:left w:val="none" w:sz="0" w:space="0" w:color="auto"/>
        <w:bottom w:val="none" w:sz="0" w:space="0" w:color="auto"/>
        <w:right w:val="none" w:sz="0" w:space="0" w:color="auto"/>
      </w:divBdr>
    </w:div>
    <w:div w:id="541141123">
      <w:bodyDiv w:val="1"/>
      <w:marLeft w:val="0"/>
      <w:marRight w:val="0"/>
      <w:marTop w:val="0"/>
      <w:marBottom w:val="0"/>
      <w:divBdr>
        <w:top w:val="none" w:sz="0" w:space="0" w:color="auto"/>
        <w:left w:val="none" w:sz="0" w:space="0" w:color="auto"/>
        <w:bottom w:val="none" w:sz="0" w:space="0" w:color="auto"/>
        <w:right w:val="none" w:sz="0" w:space="0" w:color="auto"/>
      </w:divBdr>
      <w:divsChild>
        <w:div w:id="1426809270">
          <w:marLeft w:val="1080"/>
          <w:marRight w:val="0"/>
          <w:marTop w:val="100"/>
          <w:marBottom w:val="0"/>
          <w:divBdr>
            <w:top w:val="none" w:sz="0" w:space="0" w:color="auto"/>
            <w:left w:val="none" w:sz="0" w:space="0" w:color="auto"/>
            <w:bottom w:val="none" w:sz="0" w:space="0" w:color="auto"/>
            <w:right w:val="none" w:sz="0" w:space="0" w:color="auto"/>
          </w:divBdr>
        </w:div>
      </w:divsChild>
    </w:div>
    <w:div w:id="545946644">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428602">
      <w:bodyDiv w:val="1"/>
      <w:marLeft w:val="0"/>
      <w:marRight w:val="0"/>
      <w:marTop w:val="0"/>
      <w:marBottom w:val="0"/>
      <w:divBdr>
        <w:top w:val="none" w:sz="0" w:space="0" w:color="auto"/>
        <w:left w:val="none" w:sz="0" w:space="0" w:color="auto"/>
        <w:bottom w:val="none" w:sz="0" w:space="0" w:color="auto"/>
        <w:right w:val="none" w:sz="0" w:space="0" w:color="auto"/>
      </w:divBdr>
    </w:div>
    <w:div w:id="553392957">
      <w:bodyDiv w:val="1"/>
      <w:marLeft w:val="0"/>
      <w:marRight w:val="0"/>
      <w:marTop w:val="0"/>
      <w:marBottom w:val="0"/>
      <w:divBdr>
        <w:top w:val="none" w:sz="0" w:space="0" w:color="auto"/>
        <w:left w:val="none" w:sz="0" w:space="0" w:color="auto"/>
        <w:bottom w:val="none" w:sz="0" w:space="0" w:color="auto"/>
        <w:right w:val="none" w:sz="0" w:space="0" w:color="auto"/>
      </w:divBdr>
    </w:div>
    <w:div w:id="557522735">
      <w:bodyDiv w:val="1"/>
      <w:marLeft w:val="0"/>
      <w:marRight w:val="0"/>
      <w:marTop w:val="0"/>
      <w:marBottom w:val="0"/>
      <w:divBdr>
        <w:top w:val="none" w:sz="0" w:space="0" w:color="auto"/>
        <w:left w:val="none" w:sz="0" w:space="0" w:color="auto"/>
        <w:bottom w:val="none" w:sz="0" w:space="0" w:color="auto"/>
        <w:right w:val="none" w:sz="0" w:space="0" w:color="auto"/>
      </w:divBdr>
    </w:div>
    <w:div w:id="572201545">
      <w:bodyDiv w:val="1"/>
      <w:marLeft w:val="0"/>
      <w:marRight w:val="0"/>
      <w:marTop w:val="0"/>
      <w:marBottom w:val="0"/>
      <w:divBdr>
        <w:top w:val="none" w:sz="0" w:space="0" w:color="auto"/>
        <w:left w:val="none" w:sz="0" w:space="0" w:color="auto"/>
        <w:bottom w:val="none" w:sz="0" w:space="0" w:color="auto"/>
        <w:right w:val="none" w:sz="0" w:space="0" w:color="auto"/>
      </w:divBdr>
    </w:div>
    <w:div w:id="583298756">
      <w:bodyDiv w:val="1"/>
      <w:marLeft w:val="0"/>
      <w:marRight w:val="0"/>
      <w:marTop w:val="0"/>
      <w:marBottom w:val="0"/>
      <w:divBdr>
        <w:top w:val="none" w:sz="0" w:space="0" w:color="auto"/>
        <w:left w:val="none" w:sz="0" w:space="0" w:color="auto"/>
        <w:bottom w:val="none" w:sz="0" w:space="0" w:color="auto"/>
        <w:right w:val="none" w:sz="0" w:space="0" w:color="auto"/>
      </w:divBdr>
    </w:div>
    <w:div w:id="584807490">
      <w:bodyDiv w:val="1"/>
      <w:marLeft w:val="0"/>
      <w:marRight w:val="0"/>
      <w:marTop w:val="0"/>
      <w:marBottom w:val="0"/>
      <w:divBdr>
        <w:top w:val="none" w:sz="0" w:space="0" w:color="auto"/>
        <w:left w:val="none" w:sz="0" w:space="0" w:color="auto"/>
        <w:bottom w:val="none" w:sz="0" w:space="0" w:color="auto"/>
        <w:right w:val="none" w:sz="0" w:space="0" w:color="auto"/>
      </w:divBdr>
    </w:div>
    <w:div w:id="600141266">
      <w:bodyDiv w:val="1"/>
      <w:marLeft w:val="0"/>
      <w:marRight w:val="0"/>
      <w:marTop w:val="0"/>
      <w:marBottom w:val="0"/>
      <w:divBdr>
        <w:top w:val="none" w:sz="0" w:space="0" w:color="auto"/>
        <w:left w:val="none" w:sz="0" w:space="0" w:color="auto"/>
        <w:bottom w:val="none" w:sz="0" w:space="0" w:color="auto"/>
        <w:right w:val="none" w:sz="0" w:space="0" w:color="auto"/>
      </w:divBdr>
    </w:div>
    <w:div w:id="602884954">
      <w:bodyDiv w:val="1"/>
      <w:marLeft w:val="0"/>
      <w:marRight w:val="0"/>
      <w:marTop w:val="0"/>
      <w:marBottom w:val="0"/>
      <w:divBdr>
        <w:top w:val="none" w:sz="0" w:space="0" w:color="auto"/>
        <w:left w:val="none" w:sz="0" w:space="0" w:color="auto"/>
        <w:bottom w:val="none" w:sz="0" w:space="0" w:color="auto"/>
        <w:right w:val="none" w:sz="0" w:space="0" w:color="auto"/>
      </w:divBdr>
    </w:div>
    <w:div w:id="602997742">
      <w:bodyDiv w:val="1"/>
      <w:marLeft w:val="0"/>
      <w:marRight w:val="0"/>
      <w:marTop w:val="0"/>
      <w:marBottom w:val="0"/>
      <w:divBdr>
        <w:top w:val="none" w:sz="0" w:space="0" w:color="auto"/>
        <w:left w:val="none" w:sz="0" w:space="0" w:color="auto"/>
        <w:bottom w:val="none" w:sz="0" w:space="0" w:color="auto"/>
        <w:right w:val="none" w:sz="0" w:space="0" w:color="auto"/>
      </w:divBdr>
    </w:div>
    <w:div w:id="608127899">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432390">
      <w:bodyDiv w:val="1"/>
      <w:marLeft w:val="0"/>
      <w:marRight w:val="0"/>
      <w:marTop w:val="0"/>
      <w:marBottom w:val="0"/>
      <w:divBdr>
        <w:top w:val="none" w:sz="0" w:space="0" w:color="auto"/>
        <w:left w:val="none" w:sz="0" w:space="0" w:color="auto"/>
        <w:bottom w:val="none" w:sz="0" w:space="0" w:color="auto"/>
        <w:right w:val="none" w:sz="0" w:space="0" w:color="auto"/>
      </w:divBdr>
    </w:div>
    <w:div w:id="631709675">
      <w:bodyDiv w:val="1"/>
      <w:marLeft w:val="0"/>
      <w:marRight w:val="0"/>
      <w:marTop w:val="0"/>
      <w:marBottom w:val="0"/>
      <w:divBdr>
        <w:top w:val="none" w:sz="0" w:space="0" w:color="auto"/>
        <w:left w:val="none" w:sz="0" w:space="0" w:color="auto"/>
        <w:bottom w:val="none" w:sz="0" w:space="0" w:color="auto"/>
        <w:right w:val="none" w:sz="0" w:space="0" w:color="auto"/>
      </w:divBdr>
    </w:div>
    <w:div w:id="636423146">
      <w:bodyDiv w:val="1"/>
      <w:marLeft w:val="0"/>
      <w:marRight w:val="0"/>
      <w:marTop w:val="0"/>
      <w:marBottom w:val="0"/>
      <w:divBdr>
        <w:top w:val="none" w:sz="0" w:space="0" w:color="auto"/>
        <w:left w:val="none" w:sz="0" w:space="0" w:color="auto"/>
        <w:bottom w:val="none" w:sz="0" w:space="0" w:color="auto"/>
        <w:right w:val="none" w:sz="0" w:space="0" w:color="auto"/>
      </w:divBdr>
    </w:div>
    <w:div w:id="638146512">
      <w:bodyDiv w:val="1"/>
      <w:marLeft w:val="0"/>
      <w:marRight w:val="0"/>
      <w:marTop w:val="0"/>
      <w:marBottom w:val="0"/>
      <w:divBdr>
        <w:top w:val="none" w:sz="0" w:space="0" w:color="auto"/>
        <w:left w:val="none" w:sz="0" w:space="0" w:color="auto"/>
        <w:bottom w:val="none" w:sz="0" w:space="0" w:color="auto"/>
        <w:right w:val="none" w:sz="0" w:space="0" w:color="auto"/>
      </w:divBdr>
    </w:div>
    <w:div w:id="639116308">
      <w:bodyDiv w:val="1"/>
      <w:marLeft w:val="0"/>
      <w:marRight w:val="0"/>
      <w:marTop w:val="0"/>
      <w:marBottom w:val="0"/>
      <w:divBdr>
        <w:top w:val="none" w:sz="0" w:space="0" w:color="auto"/>
        <w:left w:val="none" w:sz="0" w:space="0" w:color="auto"/>
        <w:bottom w:val="none" w:sz="0" w:space="0" w:color="auto"/>
        <w:right w:val="none" w:sz="0" w:space="0" w:color="auto"/>
      </w:divBdr>
    </w:div>
    <w:div w:id="641613817">
      <w:bodyDiv w:val="1"/>
      <w:marLeft w:val="0"/>
      <w:marRight w:val="0"/>
      <w:marTop w:val="0"/>
      <w:marBottom w:val="0"/>
      <w:divBdr>
        <w:top w:val="none" w:sz="0" w:space="0" w:color="auto"/>
        <w:left w:val="none" w:sz="0" w:space="0" w:color="auto"/>
        <w:bottom w:val="none" w:sz="0" w:space="0" w:color="auto"/>
        <w:right w:val="none" w:sz="0" w:space="0" w:color="auto"/>
      </w:divBdr>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53293318">
      <w:bodyDiv w:val="1"/>
      <w:marLeft w:val="0"/>
      <w:marRight w:val="0"/>
      <w:marTop w:val="0"/>
      <w:marBottom w:val="0"/>
      <w:divBdr>
        <w:top w:val="none" w:sz="0" w:space="0" w:color="auto"/>
        <w:left w:val="none" w:sz="0" w:space="0" w:color="auto"/>
        <w:bottom w:val="none" w:sz="0" w:space="0" w:color="auto"/>
        <w:right w:val="none" w:sz="0" w:space="0" w:color="auto"/>
      </w:divBdr>
    </w:div>
    <w:div w:id="657811261">
      <w:bodyDiv w:val="1"/>
      <w:marLeft w:val="0"/>
      <w:marRight w:val="0"/>
      <w:marTop w:val="0"/>
      <w:marBottom w:val="0"/>
      <w:divBdr>
        <w:top w:val="none" w:sz="0" w:space="0" w:color="auto"/>
        <w:left w:val="none" w:sz="0" w:space="0" w:color="auto"/>
        <w:bottom w:val="none" w:sz="0" w:space="0" w:color="auto"/>
        <w:right w:val="none" w:sz="0" w:space="0" w:color="auto"/>
      </w:divBdr>
    </w:div>
    <w:div w:id="680472485">
      <w:bodyDiv w:val="1"/>
      <w:marLeft w:val="0"/>
      <w:marRight w:val="0"/>
      <w:marTop w:val="0"/>
      <w:marBottom w:val="0"/>
      <w:divBdr>
        <w:top w:val="none" w:sz="0" w:space="0" w:color="auto"/>
        <w:left w:val="none" w:sz="0" w:space="0" w:color="auto"/>
        <w:bottom w:val="none" w:sz="0" w:space="0" w:color="auto"/>
        <w:right w:val="none" w:sz="0" w:space="0" w:color="auto"/>
      </w:divBdr>
    </w:div>
    <w:div w:id="685908800">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687633604">
      <w:bodyDiv w:val="1"/>
      <w:marLeft w:val="0"/>
      <w:marRight w:val="0"/>
      <w:marTop w:val="0"/>
      <w:marBottom w:val="0"/>
      <w:divBdr>
        <w:top w:val="none" w:sz="0" w:space="0" w:color="auto"/>
        <w:left w:val="none" w:sz="0" w:space="0" w:color="auto"/>
        <w:bottom w:val="none" w:sz="0" w:space="0" w:color="auto"/>
        <w:right w:val="none" w:sz="0" w:space="0" w:color="auto"/>
      </w:divBdr>
    </w:div>
    <w:div w:id="688798209">
      <w:bodyDiv w:val="1"/>
      <w:marLeft w:val="0"/>
      <w:marRight w:val="0"/>
      <w:marTop w:val="0"/>
      <w:marBottom w:val="0"/>
      <w:divBdr>
        <w:top w:val="none" w:sz="0" w:space="0" w:color="auto"/>
        <w:left w:val="none" w:sz="0" w:space="0" w:color="auto"/>
        <w:bottom w:val="none" w:sz="0" w:space="0" w:color="auto"/>
        <w:right w:val="none" w:sz="0" w:space="0" w:color="auto"/>
      </w:divBdr>
    </w:div>
    <w:div w:id="691612697">
      <w:bodyDiv w:val="1"/>
      <w:marLeft w:val="0"/>
      <w:marRight w:val="0"/>
      <w:marTop w:val="0"/>
      <w:marBottom w:val="0"/>
      <w:divBdr>
        <w:top w:val="none" w:sz="0" w:space="0" w:color="auto"/>
        <w:left w:val="none" w:sz="0" w:space="0" w:color="auto"/>
        <w:bottom w:val="none" w:sz="0" w:space="0" w:color="auto"/>
        <w:right w:val="none" w:sz="0" w:space="0" w:color="auto"/>
      </w:divBdr>
    </w:div>
    <w:div w:id="696925586">
      <w:bodyDiv w:val="1"/>
      <w:marLeft w:val="0"/>
      <w:marRight w:val="0"/>
      <w:marTop w:val="0"/>
      <w:marBottom w:val="0"/>
      <w:divBdr>
        <w:top w:val="none" w:sz="0" w:space="0" w:color="auto"/>
        <w:left w:val="none" w:sz="0" w:space="0" w:color="auto"/>
        <w:bottom w:val="none" w:sz="0" w:space="0" w:color="auto"/>
        <w:right w:val="none" w:sz="0" w:space="0" w:color="auto"/>
      </w:divBdr>
      <w:divsChild>
        <w:div w:id="2000227537">
          <w:marLeft w:val="1080"/>
          <w:marRight w:val="0"/>
          <w:marTop w:val="100"/>
          <w:marBottom w:val="0"/>
          <w:divBdr>
            <w:top w:val="none" w:sz="0" w:space="0" w:color="auto"/>
            <w:left w:val="none" w:sz="0" w:space="0" w:color="auto"/>
            <w:bottom w:val="none" w:sz="0" w:space="0" w:color="auto"/>
            <w:right w:val="none" w:sz="0" w:space="0" w:color="auto"/>
          </w:divBdr>
        </w:div>
      </w:divsChild>
    </w:div>
    <w:div w:id="701436905">
      <w:bodyDiv w:val="1"/>
      <w:marLeft w:val="0"/>
      <w:marRight w:val="0"/>
      <w:marTop w:val="0"/>
      <w:marBottom w:val="0"/>
      <w:divBdr>
        <w:top w:val="none" w:sz="0" w:space="0" w:color="auto"/>
        <w:left w:val="none" w:sz="0" w:space="0" w:color="auto"/>
        <w:bottom w:val="none" w:sz="0" w:space="0" w:color="auto"/>
        <w:right w:val="none" w:sz="0" w:space="0" w:color="auto"/>
      </w:divBdr>
    </w:div>
    <w:div w:id="705526083">
      <w:bodyDiv w:val="1"/>
      <w:marLeft w:val="0"/>
      <w:marRight w:val="0"/>
      <w:marTop w:val="0"/>
      <w:marBottom w:val="0"/>
      <w:divBdr>
        <w:top w:val="none" w:sz="0" w:space="0" w:color="auto"/>
        <w:left w:val="none" w:sz="0" w:space="0" w:color="auto"/>
        <w:bottom w:val="none" w:sz="0" w:space="0" w:color="auto"/>
        <w:right w:val="none" w:sz="0" w:space="0" w:color="auto"/>
      </w:divBdr>
    </w:div>
    <w:div w:id="706879345">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2849894">
      <w:bodyDiv w:val="1"/>
      <w:marLeft w:val="0"/>
      <w:marRight w:val="0"/>
      <w:marTop w:val="0"/>
      <w:marBottom w:val="0"/>
      <w:divBdr>
        <w:top w:val="none" w:sz="0" w:space="0" w:color="auto"/>
        <w:left w:val="none" w:sz="0" w:space="0" w:color="auto"/>
        <w:bottom w:val="none" w:sz="0" w:space="0" w:color="auto"/>
        <w:right w:val="none" w:sz="0" w:space="0" w:color="auto"/>
      </w:divBdr>
    </w:div>
    <w:div w:id="717901382">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22291401">
      <w:bodyDiv w:val="1"/>
      <w:marLeft w:val="0"/>
      <w:marRight w:val="0"/>
      <w:marTop w:val="0"/>
      <w:marBottom w:val="0"/>
      <w:divBdr>
        <w:top w:val="none" w:sz="0" w:space="0" w:color="auto"/>
        <w:left w:val="none" w:sz="0" w:space="0" w:color="auto"/>
        <w:bottom w:val="none" w:sz="0" w:space="0" w:color="auto"/>
        <w:right w:val="none" w:sz="0" w:space="0" w:color="auto"/>
      </w:divBdr>
    </w:div>
    <w:div w:id="722874416">
      <w:bodyDiv w:val="1"/>
      <w:marLeft w:val="0"/>
      <w:marRight w:val="0"/>
      <w:marTop w:val="0"/>
      <w:marBottom w:val="0"/>
      <w:divBdr>
        <w:top w:val="none" w:sz="0" w:space="0" w:color="auto"/>
        <w:left w:val="none" w:sz="0" w:space="0" w:color="auto"/>
        <w:bottom w:val="none" w:sz="0" w:space="0" w:color="auto"/>
        <w:right w:val="none" w:sz="0" w:space="0" w:color="auto"/>
      </w:divBdr>
    </w:div>
    <w:div w:id="724448660">
      <w:bodyDiv w:val="1"/>
      <w:marLeft w:val="0"/>
      <w:marRight w:val="0"/>
      <w:marTop w:val="0"/>
      <w:marBottom w:val="0"/>
      <w:divBdr>
        <w:top w:val="none" w:sz="0" w:space="0" w:color="auto"/>
        <w:left w:val="none" w:sz="0" w:space="0" w:color="auto"/>
        <w:bottom w:val="none" w:sz="0" w:space="0" w:color="auto"/>
        <w:right w:val="none" w:sz="0" w:space="0" w:color="auto"/>
      </w:divBdr>
    </w:div>
    <w:div w:id="724987656">
      <w:bodyDiv w:val="1"/>
      <w:marLeft w:val="0"/>
      <w:marRight w:val="0"/>
      <w:marTop w:val="0"/>
      <w:marBottom w:val="0"/>
      <w:divBdr>
        <w:top w:val="none" w:sz="0" w:space="0" w:color="auto"/>
        <w:left w:val="none" w:sz="0" w:space="0" w:color="auto"/>
        <w:bottom w:val="none" w:sz="0" w:space="0" w:color="auto"/>
        <w:right w:val="none" w:sz="0" w:space="0" w:color="auto"/>
      </w:divBdr>
    </w:div>
    <w:div w:id="727338017">
      <w:bodyDiv w:val="1"/>
      <w:marLeft w:val="0"/>
      <w:marRight w:val="0"/>
      <w:marTop w:val="0"/>
      <w:marBottom w:val="0"/>
      <w:divBdr>
        <w:top w:val="none" w:sz="0" w:space="0" w:color="auto"/>
        <w:left w:val="none" w:sz="0" w:space="0" w:color="auto"/>
        <w:bottom w:val="none" w:sz="0" w:space="0" w:color="auto"/>
        <w:right w:val="none" w:sz="0" w:space="0" w:color="auto"/>
      </w:divBdr>
    </w:div>
    <w:div w:id="734161778">
      <w:bodyDiv w:val="1"/>
      <w:marLeft w:val="0"/>
      <w:marRight w:val="0"/>
      <w:marTop w:val="0"/>
      <w:marBottom w:val="0"/>
      <w:divBdr>
        <w:top w:val="none" w:sz="0" w:space="0" w:color="auto"/>
        <w:left w:val="none" w:sz="0" w:space="0" w:color="auto"/>
        <w:bottom w:val="none" w:sz="0" w:space="0" w:color="auto"/>
        <w:right w:val="none" w:sz="0" w:space="0" w:color="auto"/>
      </w:divBdr>
    </w:div>
    <w:div w:id="744038324">
      <w:bodyDiv w:val="1"/>
      <w:marLeft w:val="0"/>
      <w:marRight w:val="0"/>
      <w:marTop w:val="0"/>
      <w:marBottom w:val="0"/>
      <w:divBdr>
        <w:top w:val="none" w:sz="0" w:space="0" w:color="auto"/>
        <w:left w:val="none" w:sz="0" w:space="0" w:color="auto"/>
        <w:bottom w:val="none" w:sz="0" w:space="0" w:color="auto"/>
        <w:right w:val="none" w:sz="0" w:space="0" w:color="auto"/>
      </w:divBdr>
    </w:div>
    <w:div w:id="749160744">
      <w:bodyDiv w:val="1"/>
      <w:marLeft w:val="0"/>
      <w:marRight w:val="0"/>
      <w:marTop w:val="0"/>
      <w:marBottom w:val="0"/>
      <w:divBdr>
        <w:top w:val="none" w:sz="0" w:space="0" w:color="auto"/>
        <w:left w:val="none" w:sz="0" w:space="0" w:color="auto"/>
        <w:bottom w:val="none" w:sz="0" w:space="0" w:color="auto"/>
        <w:right w:val="none" w:sz="0" w:space="0" w:color="auto"/>
      </w:divBdr>
    </w:div>
    <w:div w:id="750009040">
      <w:bodyDiv w:val="1"/>
      <w:marLeft w:val="0"/>
      <w:marRight w:val="0"/>
      <w:marTop w:val="0"/>
      <w:marBottom w:val="0"/>
      <w:divBdr>
        <w:top w:val="none" w:sz="0" w:space="0" w:color="auto"/>
        <w:left w:val="none" w:sz="0" w:space="0" w:color="auto"/>
        <w:bottom w:val="none" w:sz="0" w:space="0" w:color="auto"/>
        <w:right w:val="none" w:sz="0" w:space="0" w:color="auto"/>
      </w:divBdr>
    </w:div>
    <w:div w:id="751046088">
      <w:bodyDiv w:val="1"/>
      <w:marLeft w:val="0"/>
      <w:marRight w:val="0"/>
      <w:marTop w:val="0"/>
      <w:marBottom w:val="0"/>
      <w:divBdr>
        <w:top w:val="none" w:sz="0" w:space="0" w:color="auto"/>
        <w:left w:val="none" w:sz="0" w:space="0" w:color="auto"/>
        <w:bottom w:val="none" w:sz="0" w:space="0" w:color="auto"/>
        <w:right w:val="none" w:sz="0" w:space="0" w:color="auto"/>
      </w:divBdr>
    </w:div>
    <w:div w:id="751778443">
      <w:bodyDiv w:val="1"/>
      <w:marLeft w:val="0"/>
      <w:marRight w:val="0"/>
      <w:marTop w:val="0"/>
      <w:marBottom w:val="0"/>
      <w:divBdr>
        <w:top w:val="none" w:sz="0" w:space="0" w:color="auto"/>
        <w:left w:val="none" w:sz="0" w:space="0" w:color="auto"/>
        <w:bottom w:val="none" w:sz="0" w:space="0" w:color="auto"/>
        <w:right w:val="none" w:sz="0" w:space="0" w:color="auto"/>
      </w:divBdr>
    </w:div>
    <w:div w:id="755319190">
      <w:bodyDiv w:val="1"/>
      <w:marLeft w:val="0"/>
      <w:marRight w:val="0"/>
      <w:marTop w:val="0"/>
      <w:marBottom w:val="0"/>
      <w:divBdr>
        <w:top w:val="none" w:sz="0" w:space="0" w:color="auto"/>
        <w:left w:val="none" w:sz="0" w:space="0" w:color="auto"/>
        <w:bottom w:val="none" w:sz="0" w:space="0" w:color="auto"/>
        <w:right w:val="none" w:sz="0" w:space="0" w:color="auto"/>
      </w:divBdr>
    </w:div>
    <w:div w:id="759255000">
      <w:bodyDiv w:val="1"/>
      <w:marLeft w:val="0"/>
      <w:marRight w:val="0"/>
      <w:marTop w:val="0"/>
      <w:marBottom w:val="0"/>
      <w:divBdr>
        <w:top w:val="none" w:sz="0" w:space="0" w:color="auto"/>
        <w:left w:val="none" w:sz="0" w:space="0" w:color="auto"/>
        <w:bottom w:val="none" w:sz="0" w:space="0" w:color="auto"/>
        <w:right w:val="none" w:sz="0" w:space="0" w:color="auto"/>
      </w:divBdr>
    </w:div>
    <w:div w:id="766779077">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799030657">
      <w:bodyDiv w:val="1"/>
      <w:marLeft w:val="0"/>
      <w:marRight w:val="0"/>
      <w:marTop w:val="0"/>
      <w:marBottom w:val="0"/>
      <w:divBdr>
        <w:top w:val="none" w:sz="0" w:space="0" w:color="auto"/>
        <w:left w:val="none" w:sz="0" w:space="0" w:color="auto"/>
        <w:bottom w:val="none" w:sz="0" w:space="0" w:color="auto"/>
        <w:right w:val="none" w:sz="0" w:space="0" w:color="auto"/>
      </w:divBdr>
    </w:div>
    <w:div w:id="802621141">
      <w:bodyDiv w:val="1"/>
      <w:marLeft w:val="0"/>
      <w:marRight w:val="0"/>
      <w:marTop w:val="0"/>
      <w:marBottom w:val="0"/>
      <w:divBdr>
        <w:top w:val="none" w:sz="0" w:space="0" w:color="auto"/>
        <w:left w:val="none" w:sz="0" w:space="0" w:color="auto"/>
        <w:bottom w:val="none" w:sz="0" w:space="0" w:color="auto"/>
        <w:right w:val="none" w:sz="0" w:space="0" w:color="auto"/>
      </w:divBdr>
    </w:div>
    <w:div w:id="804586355">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1890930">
      <w:bodyDiv w:val="1"/>
      <w:marLeft w:val="0"/>
      <w:marRight w:val="0"/>
      <w:marTop w:val="0"/>
      <w:marBottom w:val="0"/>
      <w:divBdr>
        <w:top w:val="none" w:sz="0" w:space="0" w:color="auto"/>
        <w:left w:val="none" w:sz="0" w:space="0" w:color="auto"/>
        <w:bottom w:val="none" w:sz="0" w:space="0" w:color="auto"/>
        <w:right w:val="none" w:sz="0" w:space="0" w:color="auto"/>
      </w:divBdr>
    </w:div>
    <w:div w:id="826750987">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27939854">
      <w:bodyDiv w:val="1"/>
      <w:marLeft w:val="0"/>
      <w:marRight w:val="0"/>
      <w:marTop w:val="0"/>
      <w:marBottom w:val="0"/>
      <w:divBdr>
        <w:top w:val="none" w:sz="0" w:space="0" w:color="auto"/>
        <w:left w:val="none" w:sz="0" w:space="0" w:color="auto"/>
        <w:bottom w:val="none" w:sz="0" w:space="0" w:color="auto"/>
        <w:right w:val="none" w:sz="0" w:space="0" w:color="auto"/>
      </w:divBdr>
    </w:div>
    <w:div w:id="835921119">
      <w:bodyDiv w:val="1"/>
      <w:marLeft w:val="0"/>
      <w:marRight w:val="0"/>
      <w:marTop w:val="0"/>
      <w:marBottom w:val="0"/>
      <w:divBdr>
        <w:top w:val="none" w:sz="0" w:space="0" w:color="auto"/>
        <w:left w:val="none" w:sz="0" w:space="0" w:color="auto"/>
        <w:bottom w:val="none" w:sz="0" w:space="0" w:color="auto"/>
        <w:right w:val="none" w:sz="0" w:space="0" w:color="auto"/>
      </w:divBdr>
    </w:div>
    <w:div w:id="839664654">
      <w:bodyDiv w:val="1"/>
      <w:marLeft w:val="0"/>
      <w:marRight w:val="0"/>
      <w:marTop w:val="0"/>
      <w:marBottom w:val="0"/>
      <w:divBdr>
        <w:top w:val="none" w:sz="0" w:space="0" w:color="auto"/>
        <w:left w:val="none" w:sz="0" w:space="0" w:color="auto"/>
        <w:bottom w:val="none" w:sz="0" w:space="0" w:color="auto"/>
        <w:right w:val="none" w:sz="0" w:space="0" w:color="auto"/>
      </w:divBdr>
    </w:div>
    <w:div w:id="841816011">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320065">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55074497">
      <w:bodyDiv w:val="1"/>
      <w:marLeft w:val="0"/>
      <w:marRight w:val="0"/>
      <w:marTop w:val="0"/>
      <w:marBottom w:val="0"/>
      <w:divBdr>
        <w:top w:val="none" w:sz="0" w:space="0" w:color="auto"/>
        <w:left w:val="none" w:sz="0" w:space="0" w:color="auto"/>
        <w:bottom w:val="none" w:sz="0" w:space="0" w:color="auto"/>
        <w:right w:val="none" w:sz="0" w:space="0" w:color="auto"/>
      </w:divBdr>
    </w:div>
    <w:div w:id="858809226">
      <w:bodyDiv w:val="1"/>
      <w:marLeft w:val="0"/>
      <w:marRight w:val="0"/>
      <w:marTop w:val="0"/>
      <w:marBottom w:val="0"/>
      <w:divBdr>
        <w:top w:val="none" w:sz="0" w:space="0" w:color="auto"/>
        <w:left w:val="none" w:sz="0" w:space="0" w:color="auto"/>
        <w:bottom w:val="none" w:sz="0" w:space="0" w:color="auto"/>
        <w:right w:val="none" w:sz="0" w:space="0" w:color="auto"/>
      </w:divBdr>
    </w:div>
    <w:div w:id="863977688">
      <w:bodyDiv w:val="1"/>
      <w:marLeft w:val="0"/>
      <w:marRight w:val="0"/>
      <w:marTop w:val="0"/>
      <w:marBottom w:val="0"/>
      <w:divBdr>
        <w:top w:val="none" w:sz="0" w:space="0" w:color="auto"/>
        <w:left w:val="none" w:sz="0" w:space="0" w:color="auto"/>
        <w:bottom w:val="none" w:sz="0" w:space="0" w:color="auto"/>
        <w:right w:val="none" w:sz="0" w:space="0" w:color="auto"/>
      </w:divBdr>
    </w:div>
    <w:div w:id="878518755">
      <w:bodyDiv w:val="1"/>
      <w:marLeft w:val="0"/>
      <w:marRight w:val="0"/>
      <w:marTop w:val="0"/>
      <w:marBottom w:val="0"/>
      <w:divBdr>
        <w:top w:val="none" w:sz="0" w:space="0" w:color="auto"/>
        <w:left w:val="none" w:sz="0" w:space="0" w:color="auto"/>
        <w:bottom w:val="none" w:sz="0" w:space="0" w:color="auto"/>
        <w:right w:val="none" w:sz="0" w:space="0" w:color="auto"/>
      </w:divBdr>
    </w:div>
    <w:div w:id="891036707">
      <w:bodyDiv w:val="1"/>
      <w:marLeft w:val="0"/>
      <w:marRight w:val="0"/>
      <w:marTop w:val="0"/>
      <w:marBottom w:val="0"/>
      <w:divBdr>
        <w:top w:val="none" w:sz="0" w:space="0" w:color="auto"/>
        <w:left w:val="none" w:sz="0" w:space="0" w:color="auto"/>
        <w:bottom w:val="none" w:sz="0" w:space="0" w:color="auto"/>
        <w:right w:val="none" w:sz="0" w:space="0" w:color="auto"/>
      </w:divBdr>
      <w:divsChild>
        <w:div w:id="86776498">
          <w:marLeft w:val="446"/>
          <w:marRight w:val="0"/>
          <w:marTop w:val="0"/>
          <w:marBottom w:val="0"/>
          <w:divBdr>
            <w:top w:val="none" w:sz="0" w:space="0" w:color="auto"/>
            <w:left w:val="none" w:sz="0" w:space="0" w:color="auto"/>
            <w:bottom w:val="none" w:sz="0" w:space="0" w:color="auto"/>
            <w:right w:val="none" w:sz="0" w:space="0" w:color="auto"/>
          </w:divBdr>
        </w:div>
        <w:div w:id="1082676555">
          <w:marLeft w:val="446"/>
          <w:marRight w:val="0"/>
          <w:marTop w:val="0"/>
          <w:marBottom w:val="0"/>
          <w:divBdr>
            <w:top w:val="none" w:sz="0" w:space="0" w:color="auto"/>
            <w:left w:val="none" w:sz="0" w:space="0" w:color="auto"/>
            <w:bottom w:val="none" w:sz="0" w:space="0" w:color="auto"/>
            <w:right w:val="none" w:sz="0" w:space="0" w:color="auto"/>
          </w:divBdr>
        </w:div>
      </w:divsChild>
    </w:div>
    <w:div w:id="891423603">
      <w:bodyDiv w:val="1"/>
      <w:marLeft w:val="0"/>
      <w:marRight w:val="0"/>
      <w:marTop w:val="0"/>
      <w:marBottom w:val="0"/>
      <w:divBdr>
        <w:top w:val="none" w:sz="0" w:space="0" w:color="auto"/>
        <w:left w:val="none" w:sz="0" w:space="0" w:color="auto"/>
        <w:bottom w:val="none" w:sz="0" w:space="0" w:color="auto"/>
        <w:right w:val="none" w:sz="0" w:space="0" w:color="auto"/>
      </w:divBdr>
    </w:div>
    <w:div w:id="893350034">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3837846">
      <w:bodyDiv w:val="1"/>
      <w:marLeft w:val="0"/>
      <w:marRight w:val="0"/>
      <w:marTop w:val="0"/>
      <w:marBottom w:val="0"/>
      <w:divBdr>
        <w:top w:val="none" w:sz="0" w:space="0" w:color="auto"/>
        <w:left w:val="none" w:sz="0" w:space="0" w:color="auto"/>
        <w:bottom w:val="none" w:sz="0" w:space="0" w:color="auto"/>
        <w:right w:val="none" w:sz="0" w:space="0" w:color="auto"/>
      </w:divBdr>
    </w:div>
    <w:div w:id="909004160">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09999831">
      <w:bodyDiv w:val="1"/>
      <w:marLeft w:val="0"/>
      <w:marRight w:val="0"/>
      <w:marTop w:val="0"/>
      <w:marBottom w:val="0"/>
      <w:divBdr>
        <w:top w:val="none" w:sz="0" w:space="0" w:color="auto"/>
        <w:left w:val="none" w:sz="0" w:space="0" w:color="auto"/>
        <w:bottom w:val="none" w:sz="0" w:space="0" w:color="auto"/>
        <w:right w:val="none" w:sz="0" w:space="0" w:color="auto"/>
      </w:divBdr>
    </w:div>
    <w:div w:id="914513452">
      <w:bodyDiv w:val="1"/>
      <w:marLeft w:val="0"/>
      <w:marRight w:val="0"/>
      <w:marTop w:val="0"/>
      <w:marBottom w:val="0"/>
      <w:divBdr>
        <w:top w:val="none" w:sz="0" w:space="0" w:color="auto"/>
        <w:left w:val="none" w:sz="0" w:space="0" w:color="auto"/>
        <w:bottom w:val="none" w:sz="0" w:space="0" w:color="auto"/>
        <w:right w:val="none" w:sz="0" w:space="0" w:color="auto"/>
      </w:divBdr>
    </w:div>
    <w:div w:id="915363136">
      <w:bodyDiv w:val="1"/>
      <w:marLeft w:val="0"/>
      <w:marRight w:val="0"/>
      <w:marTop w:val="0"/>
      <w:marBottom w:val="0"/>
      <w:divBdr>
        <w:top w:val="none" w:sz="0" w:space="0" w:color="auto"/>
        <w:left w:val="none" w:sz="0" w:space="0" w:color="auto"/>
        <w:bottom w:val="none" w:sz="0" w:space="0" w:color="auto"/>
        <w:right w:val="none" w:sz="0" w:space="0" w:color="auto"/>
      </w:divBdr>
    </w:div>
    <w:div w:id="929200455">
      <w:bodyDiv w:val="1"/>
      <w:marLeft w:val="0"/>
      <w:marRight w:val="0"/>
      <w:marTop w:val="0"/>
      <w:marBottom w:val="0"/>
      <w:divBdr>
        <w:top w:val="none" w:sz="0" w:space="0" w:color="auto"/>
        <w:left w:val="none" w:sz="0" w:space="0" w:color="auto"/>
        <w:bottom w:val="none" w:sz="0" w:space="0" w:color="auto"/>
        <w:right w:val="none" w:sz="0" w:space="0" w:color="auto"/>
      </w:divBdr>
    </w:div>
    <w:div w:id="931427256">
      <w:bodyDiv w:val="1"/>
      <w:marLeft w:val="0"/>
      <w:marRight w:val="0"/>
      <w:marTop w:val="0"/>
      <w:marBottom w:val="0"/>
      <w:divBdr>
        <w:top w:val="none" w:sz="0" w:space="0" w:color="auto"/>
        <w:left w:val="none" w:sz="0" w:space="0" w:color="auto"/>
        <w:bottom w:val="none" w:sz="0" w:space="0" w:color="auto"/>
        <w:right w:val="none" w:sz="0" w:space="0" w:color="auto"/>
      </w:divBdr>
    </w:div>
    <w:div w:id="935017074">
      <w:bodyDiv w:val="1"/>
      <w:marLeft w:val="0"/>
      <w:marRight w:val="0"/>
      <w:marTop w:val="0"/>
      <w:marBottom w:val="0"/>
      <w:divBdr>
        <w:top w:val="none" w:sz="0" w:space="0" w:color="auto"/>
        <w:left w:val="none" w:sz="0" w:space="0" w:color="auto"/>
        <w:bottom w:val="none" w:sz="0" w:space="0" w:color="auto"/>
        <w:right w:val="none" w:sz="0" w:space="0" w:color="auto"/>
      </w:divBdr>
      <w:divsChild>
        <w:div w:id="1149400631">
          <w:marLeft w:val="1699"/>
          <w:marRight w:val="0"/>
          <w:marTop w:val="120"/>
          <w:marBottom w:val="0"/>
          <w:divBdr>
            <w:top w:val="none" w:sz="0" w:space="0" w:color="auto"/>
            <w:left w:val="none" w:sz="0" w:space="0" w:color="auto"/>
            <w:bottom w:val="none" w:sz="0" w:space="0" w:color="auto"/>
            <w:right w:val="none" w:sz="0" w:space="0" w:color="auto"/>
          </w:divBdr>
        </w:div>
        <w:div w:id="1987856762">
          <w:marLeft w:val="1267"/>
          <w:marRight w:val="0"/>
          <w:marTop w:val="180"/>
          <w:marBottom w:val="0"/>
          <w:divBdr>
            <w:top w:val="none" w:sz="0" w:space="0" w:color="auto"/>
            <w:left w:val="none" w:sz="0" w:space="0" w:color="auto"/>
            <w:bottom w:val="none" w:sz="0" w:space="0" w:color="auto"/>
            <w:right w:val="none" w:sz="0" w:space="0" w:color="auto"/>
          </w:divBdr>
        </w:div>
        <w:div w:id="2101438689">
          <w:marLeft w:val="1699"/>
          <w:marRight w:val="0"/>
          <w:marTop w:val="120"/>
          <w:marBottom w:val="0"/>
          <w:divBdr>
            <w:top w:val="none" w:sz="0" w:space="0" w:color="auto"/>
            <w:left w:val="none" w:sz="0" w:space="0" w:color="auto"/>
            <w:bottom w:val="none" w:sz="0" w:space="0" w:color="auto"/>
            <w:right w:val="none" w:sz="0" w:space="0" w:color="auto"/>
          </w:divBdr>
        </w:div>
      </w:divsChild>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43733737">
      <w:bodyDiv w:val="1"/>
      <w:marLeft w:val="0"/>
      <w:marRight w:val="0"/>
      <w:marTop w:val="0"/>
      <w:marBottom w:val="0"/>
      <w:divBdr>
        <w:top w:val="none" w:sz="0" w:space="0" w:color="auto"/>
        <w:left w:val="none" w:sz="0" w:space="0" w:color="auto"/>
        <w:bottom w:val="none" w:sz="0" w:space="0" w:color="auto"/>
        <w:right w:val="none" w:sz="0" w:space="0" w:color="auto"/>
      </w:divBdr>
    </w:div>
    <w:div w:id="946740733">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61309391">
      <w:bodyDiv w:val="1"/>
      <w:marLeft w:val="0"/>
      <w:marRight w:val="0"/>
      <w:marTop w:val="0"/>
      <w:marBottom w:val="0"/>
      <w:divBdr>
        <w:top w:val="none" w:sz="0" w:space="0" w:color="auto"/>
        <w:left w:val="none" w:sz="0" w:space="0" w:color="auto"/>
        <w:bottom w:val="none" w:sz="0" w:space="0" w:color="auto"/>
        <w:right w:val="none" w:sz="0" w:space="0" w:color="auto"/>
      </w:divBdr>
    </w:div>
    <w:div w:id="966856947">
      <w:bodyDiv w:val="1"/>
      <w:marLeft w:val="0"/>
      <w:marRight w:val="0"/>
      <w:marTop w:val="0"/>
      <w:marBottom w:val="0"/>
      <w:divBdr>
        <w:top w:val="none" w:sz="0" w:space="0" w:color="auto"/>
        <w:left w:val="none" w:sz="0" w:space="0" w:color="auto"/>
        <w:bottom w:val="none" w:sz="0" w:space="0" w:color="auto"/>
        <w:right w:val="none" w:sz="0" w:space="0" w:color="auto"/>
      </w:divBdr>
    </w:div>
    <w:div w:id="972951995">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979963773">
      <w:bodyDiv w:val="1"/>
      <w:marLeft w:val="0"/>
      <w:marRight w:val="0"/>
      <w:marTop w:val="0"/>
      <w:marBottom w:val="0"/>
      <w:divBdr>
        <w:top w:val="none" w:sz="0" w:space="0" w:color="auto"/>
        <w:left w:val="none" w:sz="0" w:space="0" w:color="auto"/>
        <w:bottom w:val="none" w:sz="0" w:space="0" w:color="auto"/>
        <w:right w:val="none" w:sz="0" w:space="0" w:color="auto"/>
      </w:divBdr>
    </w:div>
    <w:div w:id="983049879">
      <w:bodyDiv w:val="1"/>
      <w:marLeft w:val="0"/>
      <w:marRight w:val="0"/>
      <w:marTop w:val="0"/>
      <w:marBottom w:val="0"/>
      <w:divBdr>
        <w:top w:val="none" w:sz="0" w:space="0" w:color="auto"/>
        <w:left w:val="none" w:sz="0" w:space="0" w:color="auto"/>
        <w:bottom w:val="none" w:sz="0" w:space="0" w:color="auto"/>
        <w:right w:val="none" w:sz="0" w:space="0" w:color="auto"/>
      </w:divBdr>
    </w:div>
    <w:div w:id="986016128">
      <w:bodyDiv w:val="1"/>
      <w:marLeft w:val="0"/>
      <w:marRight w:val="0"/>
      <w:marTop w:val="0"/>
      <w:marBottom w:val="0"/>
      <w:divBdr>
        <w:top w:val="none" w:sz="0" w:space="0" w:color="auto"/>
        <w:left w:val="none" w:sz="0" w:space="0" w:color="auto"/>
        <w:bottom w:val="none" w:sz="0" w:space="0" w:color="auto"/>
        <w:right w:val="none" w:sz="0" w:space="0" w:color="auto"/>
      </w:divBdr>
    </w:div>
    <w:div w:id="988362691">
      <w:bodyDiv w:val="1"/>
      <w:marLeft w:val="0"/>
      <w:marRight w:val="0"/>
      <w:marTop w:val="0"/>
      <w:marBottom w:val="0"/>
      <w:divBdr>
        <w:top w:val="none" w:sz="0" w:space="0" w:color="auto"/>
        <w:left w:val="none" w:sz="0" w:space="0" w:color="auto"/>
        <w:bottom w:val="none" w:sz="0" w:space="0" w:color="auto"/>
        <w:right w:val="none" w:sz="0" w:space="0" w:color="auto"/>
      </w:divBdr>
    </w:div>
    <w:div w:id="989331985">
      <w:bodyDiv w:val="1"/>
      <w:marLeft w:val="0"/>
      <w:marRight w:val="0"/>
      <w:marTop w:val="0"/>
      <w:marBottom w:val="0"/>
      <w:divBdr>
        <w:top w:val="none" w:sz="0" w:space="0" w:color="auto"/>
        <w:left w:val="none" w:sz="0" w:space="0" w:color="auto"/>
        <w:bottom w:val="none" w:sz="0" w:space="0" w:color="auto"/>
        <w:right w:val="none" w:sz="0" w:space="0" w:color="auto"/>
      </w:divBdr>
    </w:div>
    <w:div w:id="994066459">
      <w:bodyDiv w:val="1"/>
      <w:marLeft w:val="0"/>
      <w:marRight w:val="0"/>
      <w:marTop w:val="0"/>
      <w:marBottom w:val="0"/>
      <w:divBdr>
        <w:top w:val="none" w:sz="0" w:space="0" w:color="auto"/>
        <w:left w:val="none" w:sz="0" w:space="0" w:color="auto"/>
        <w:bottom w:val="none" w:sz="0" w:space="0" w:color="auto"/>
        <w:right w:val="none" w:sz="0" w:space="0" w:color="auto"/>
      </w:divBdr>
    </w:div>
    <w:div w:id="994802423">
      <w:bodyDiv w:val="1"/>
      <w:marLeft w:val="0"/>
      <w:marRight w:val="0"/>
      <w:marTop w:val="0"/>
      <w:marBottom w:val="0"/>
      <w:divBdr>
        <w:top w:val="none" w:sz="0" w:space="0" w:color="auto"/>
        <w:left w:val="none" w:sz="0" w:space="0" w:color="auto"/>
        <w:bottom w:val="none" w:sz="0" w:space="0" w:color="auto"/>
        <w:right w:val="none" w:sz="0" w:space="0" w:color="auto"/>
      </w:divBdr>
    </w:div>
    <w:div w:id="998271575">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13266694">
      <w:bodyDiv w:val="1"/>
      <w:marLeft w:val="0"/>
      <w:marRight w:val="0"/>
      <w:marTop w:val="0"/>
      <w:marBottom w:val="0"/>
      <w:divBdr>
        <w:top w:val="none" w:sz="0" w:space="0" w:color="auto"/>
        <w:left w:val="none" w:sz="0" w:space="0" w:color="auto"/>
        <w:bottom w:val="none" w:sz="0" w:space="0" w:color="auto"/>
        <w:right w:val="none" w:sz="0" w:space="0" w:color="auto"/>
      </w:divBdr>
    </w:div>
    <w:div w:id="1013872769">
      <w:bodyDiv w:val="1"/>
      <w:marLeft w:val="0"/>
      <w:marRight w:val="0"/>
      <w:marTop w:val="0"/>
      <w:marBottom w:val="0"/>
      <w:divBdr>
        <w:top w:val="none" w:sz="0" w:space="0" w:color="auto"/>
        <w:left w:val="none" w:sz="0" w:space="0" w:color="auto"/>
        <w:bottom w:val="none" w:sz="0" w:space="0" w:color="auto"/>
        <w:right w:val="none" w:sz="0" w:space="0" w:color="auto"/>
      </w:divBdr>
    </w:div>
    <w:div w:id="1016541666">
      <w:bodyDiv w:val="1"/>
      <w:marLeft w:val="0"/>
      <w:marRight w:val="0"/>
      <w:marTop w:val="0"/>
      <w:marBottom w:val="0"/>
      <w:divBdr>
        <w:top w:val="none" w:sz="0" w:space="0" w:color="auto"/>
        <w:left w:val="none" w:sz="0" w:space="0" w:color="auto"/>
        <w:bottom w:val="none" w:sz="0" w:space="0" w:color="auto"/>
        <w:right w:val="none" w:sz="0" w:space="0" w:color="auto"/>
      </w:divBdr>
    </w:div>
    <w:div w:id="1023289387">
      <w:bodyDiv w:val="1"/>
      <w:marLeft w:val="0"/>
      <w:marRight w:val="0"/>
      <w:marTop w:val="0"/>
      <w:marBottom w:val="0"/>
      <w:divBdr>
        <w:top w:val="none" w:sz="0" w:space="0" w:color="auto"/>
        <w:left w:val="none" w:sz="0" w:space="0" w:color="auto"/>
        <w:bottom w:val="none" w:sz="0" w:space="0" w:color="auto"/>
        <w:right w:val="none" w:sz="0" w:space="0" w:color="auto"/>
      </w:divBdr>
    </w:div>
    <w:div w:id="1028677656">
      <w:bodyDiv w:val="1"/>
      <w:marLeft w:val="0"/>
      <w:marRight w:val="0"/>
      <w:marTop w:val="0"/>
      <w:marBottom w:val="0"/>
      <w:divBdr>
        <w:top w:val="none" w:sz="0" w:space="0" w:color="auto"/>
        <w:left w:val="none" w:sz="0" w:space="0" w:color="auto"/>
        <w:bottom w:val="none" w:sz="0" w:space="0" w:color="auto"/>
        <w:right w:val="none" w:sz="0" w:space="0" w:color="auto"/>
      </w:divBdr>
    </w:div>
    <w:div w:id="1033653274">
      <w:bodyDiv w:val="1"/>
      <w:marLeft w:val="0"/>
      <w:marRight w:val="0"/>
      <w:marTop w:val="0"/>
      <w:marBottom w:val="0"/>
      <w:divBdr>
        <w:top w:val="none" w:sz="0" w:space="0" w:color="auto"/>
        <w:left w:val="none" w:sz="0" w:space="0" w:color="auto"/>
        <w:bottom w:val="none" w:sz="0" w:space="0" w:color="auto"/>
        <w:right w:val="none" w:sz="0" w:space="0" w:color="auto"/>
      </w:divBdr>
      <w:divsChild>
        <w:div w:id="251667882">
          <w:marLeft w:val="1080"/>
          <w:marRight w:val="0"/>
          <w:marTop w:val="100"/>
          <w:marBottom w:val="0"/>
          <w:divBdr>
            <w:top w:val="none" w:sz="0" w:space="0" w:color="auto"/>
            <w:left w:val="none" w:sz="0" w:space="0" w:color="auto"/>
            <w:bottom w:val="none" w:sz="0" w:space="0" w:color="auto"/>
            <w:right w:val="none" w:sz="0" w:space="0" w:color="auto"/>
          </w:divBdr>
        </w:div>
        <w:div w:id="2011639466">
          <w:marLeft w:val="1800"/>
          <w:marRight w:val="0"/>
          <w:marTop w:val="100"/>
          <w:marBottom w:val="0"/>
          <w:divBdr>
            <w:top w:val="none" w:sz="0" w:space="0" w:color="auto"/>
            <w:left w:val="none" w:sz="0" w:space="0" w:color="auto"/>
            <w:bottom w:val="none" w:sz="0" w:space="0" w:color="auto"/>
            <w:right w:val="none" w:sz="0" w:space="0" w:color="auto"/>
          </w:divBdr>
        </w:div>
      </w:divsChild>
    </w:div>
    <w:div w:id="1038041934">
      <w:bodyDiv w:val="1"/>
      <w:marLeft w:val="0"/>
      <w:marRight w:val="0"/>
      <w:marTop w:val="0"/>
      <w:marBottom w:val="0"/>
      <w:divBdr>
        <w:top w:val="none" w:sz="0" w:space="0" w:color="auto"/>
        <w:left w:val="none" w:sz="0" w:space="0" w:color="auto"/>
        <w:bottom w:val="none" w:sz="0" w:space="0" w:color="auto"/>
        <w:right w:val="none" w:sz="0" w:space="0" w:color="auto"/>
      </w:divBdr>
    </w:div>
    <w:div w:id="1039167653">
      <w:bodyDiv w:val="1"/>
      <w:marLeft w:val="0"/>
      <w:marRight w:val="0"/>
      <w:marTop w:val="0"/>
      <w:marBottom w:val="0"/>
      <w:divBdr>
        <w:top w:val="none" w:sz="0" w:space="0" w:color="auto"/>
        <w:left w:val="none" w:sz="0" w:space="0" w:color="auto"/>
        <w:bottom w:val="none" w:sz="0" w:space="0" w:color="auto"/>
        <w:right w:val="none" w:sz="0" w:space="0" w:color="auto"/>
      </w:divBdr>
    </w:div>
    <w:div w:id="1039285501">
      <w:bodyDiv w:val="1"/>
      <w:marLeft w:val="0"/>
      <w:marRight w:val="0"/>
      <w:marTop w:val="0"/>
      <w:marBottom w:val="0"/>
      <w:divBdr>
        <w:top w:val="none" w:sz="0" w:space="0" w:color="auto"/>
        <w:left w:val="none" w:sz="0" w:space="0" w:color="auto"/>
        <w:bottom w:val="none" w:sz="0" w:space="0" w:color="auto"/>
        <w:right w:val="none" w:sz="0" w:space="0" w:color="auto"/>
      </w:divBdr>
    </w:div>
    <w:div w:id="1045721037">
      <w:bodyDiv w:val="1"/>
      <w:marLeft w:val="0"/>
      <w:marRight w:val="0"/>
      <w:marTop w:val="0"/>
      <w:marBottom w:val="0"/>
      <w:divBdr>
        <w:top w:val="none" w:sz="0" w:space="0" w:color="auto"/>
        <w:left w:val="none" w:sz="0" w:space="0" w:color="auto"/>
        <w:bottom w:val="none" w:sz="0" w:space="0" w:color="auto"/>
        <w:right w:val="none" w:sz="0" w:space="0" w:color="auto"/>
      </w:divBdr>
    </w:div>
    <w:div w:id="1049383555">
      <w:bodyDiv w:val="1"/>
      <w:marLeft w:val="0"/>
      <w:marRight w:val="0"/>
      <w:marTop w:val="0"/>
      <w:marBottom w:val="0"/>
      <w:divBdr>
        <w:top w:val="none" w:sz="0" w:space="0" w:color="auto"/>
        <w:left w:val="none" w:sz="0" w:space="0" w:color="auto"/>
        <w:bottom w:val="none" w:sz="0" w:space="0" w:color="auto"/>
        <w:right w:val="none" w:sz="0" w:space="0" w:color="auto"/>
      </w:divBdr>
    </w:div>
    <w:div w:id="1050808005">
      <w:bodyDiv w:val="1"/>
      <w:marLeft w:val="0"/>
      <w:marRight w:val="0"/>
      <w:marTop w:val="0"/>
      <w:marBottom w:val="0"/>
      <w:divBdr>
        <w:top w:val="none" w:sz="0" w:space="0" w:color="auto"/>
        <w:left w:val="none" w:sz="0" w:space="0" w:color="auto"/>
        <w:bottom w:val="none" w:sz="0" w:space="0" w:color="auto"/>
        <w:right w:val="none" w:sz="0" w:space="0" w:color="auto"/>
      </w:divBdr>
    </w:div>
    <w:div w:id="1051660098">
      <w:bodyDiv w:val="1"/>
      <w:marLeft w:val="0"/>
      <w:marRight w:val="0"/>
      <w:marTop w:val="0"/>
      <w:marBottom w:val="0"/>
      <w:divBdr>
        <w:top w:val="none" w:sz="0" w:space="0" w:color="auto"/>
        <w:left w:val="none" w:sz="0" w:space="0" w:color="auto"/>
        <w:bottom w:val="none" w:sz="0" w:space="0" w:color="auto"/>
        <w:right w:val="none" w:sz="0" w:space="0" w:color="auto"/>
      </w:divBdr>
    </w:div>
    <w:div w:id="1056511898">
      <w:bodyDiv w:val="1"/>
      <w:marLeft w:val="0"/>
      <w:marRight w:val="0"/>
      <w:marTop w:val="0"/>
      <w:marBottom w:val="0"/>
      <w:divBdr>
        <w:top w:val="none" w:sz="0" w:space="0" w:color="auto"/>
        <w:left w:val="none" w:sz="0" w:space="0" w:color="auto"/>
        <w:bottom w:val="none" w:sz="0" w:space="0" w:color="auto"/>
        <w:right w:val="none" w:sz="0" w:space="0" w:color="auto"/>
      </w:divBdr>
      <w:divsChild>
        <w:div w:id="1524244007">
          <w:marLeft w:val="432"/>
          <w:marRight w:val="0"/>
          <w:marTop w:val="240"/>
          <w:marBottom w:val="0"/>
          <w:divBdr>
            <w:top w:val="none" w:sz="0" w:space="0" w:color="auto"/>
            <w:left w:val="none" w:sz="0" w:space="0" w:color="auto"/>
            <w:bottom w:val="none" w:sz="0" w:space="0" w:color="auto"/>
            <w:right w:val="none" w:sz="0" w:space="0" w:color="auto"/>
          </w:divBdr>
        </w:div>
        <w:div w:id="334649776">
          <w:marLeft w:val="432"/>
          <w:marRight w:val="0"/>
          <w:marTop w:val="240"/>
          <w:marBottom w:val="0"/>
          <w:divBdr>
            <w:top w:val="none" w:sz="0" w:space="0" w:color="auto"/>
            <w:left w:val="none" w:sz="0" w:space="0" w:color="auto"/>
            <w:bottom w:val="none" w:sz="0" w:space="0" w:color="auto"/>
            <w:right w:val="none" w:sz="0" w:space="0" w:color="auto"/>
          </w:divBdr>
        </w:div>
        <w:div w:id="311757573">
          <w:marLeft w:val="432"/>
          <w:marRight w:val="0"/>
          <w:marTop w:val="240"/>
          <w:marBottom w:val="0"/>
          <w:divBdr>
            <w:top w:val="none" w:sz="0" w:space="0" w:color="auto"/>
            <w:left w:val="none" w:sz="0" w:space="0" w:color="auto"/>
            <w:bottom w:val="none" w:sz="0" w:space="0" w:color="auto"/>
            <w:right w:val="none" w:sz="0" w:space="0" w:color="auto"/>
          </w:divBdr>
        </w:div>
        <w:div w:id="1535922091">
          <w:marLeft w:val="432"/>
          <w:marRight w:val="0"/>
          <w:marTop w:val="240"/>
          <w:marBottom w:val="0"/>
          <w:divBdr>
            <w:top w:val="none" w:sz="0" w:space="0" w:color="auto"/>
            <w:left w:val="none" w:sz="0" w:space="0" w:color="auto"/>
            <w:bottom w:val="none" w:sz="0" w:space="0" w:color="auto"/>
            <w:right w:val="none" w:sz="0" w:space="0" w:color="auto"/>
          </w:divBdr>
        </w:div>
        <w:div w:id="181863444">
          <w:marLeft w:val="432"/>
          <w:marRight w:val="0"/>
          <w:marTop w:val="240"/>
          <w:marBottom w:val="0"/>
          <w:divBdr>
            <w:top w:val="none" w:sz="0" w:space="0" w:color="auto"/>
            <w:left w:val="none" w:sz="0" w:space="0" w:color="auto"/>
            <w:bottom w:val="none" w:sz="0" w:space="0" w:color="auto"/>
            <w:right w:val="none" w:sz="0" w:space="0" w:color="auto"/>
          </w:divBdr>
        </w:div>
        <w:div w:id="355085981">
          <w:marLeft w:val="432"/>
          <w:marRight w:val="0"/>
          <w:marTop w:val="240"/>
          <w:marBottom w:val="0"/>
          <w:divBdr>
            <w:top w:val="none" w:sz="0" w:space="0" w:color="auto"/>
            <w:left w:val="none" w:sz="0" w:space="0" w:color="auto"/>
            <w:bottom w:val="none" w:sz="0" w:space="0" w:color="auto"/>
            <w:right w:val="none" w:sz="0" w:space="0" w:color="auto"/>
          </w:divBdr>
        </w:div>
        <w:div w:id="410658351">
          <w:marLeft w:val="432"/>
          <w:marRight w:val="0"/>
          <w:marTop w:val="240"/>
          <w:marBottom w:val="0"/>
          <w:divBdr>
            <w:top w:val="none" w:sz="0" w:space="0" w:color="auto"/>
            <w:left w:val="none" w:sz="0" w:space="0" w:color="auto"/>
            <w:bottom w:val="none" w:sz="0" w:space="0" w:color="auto"/>
            <w:right w:val="none" w:sz="0" w:space="0" w:color="auto"/>
          </w:divBdr>
        </w:div>
        <w:div w:id="1616135174">
          <w:marLeft w:val="432"/>
          <w:marRight w:val="0"/>
          <w:marTop w:val="240"/>
          <w:marBottom w:val="0"/>
          <w:divBdr>
            <w:top w:val="none" w:sz="0" w:space="0" w:color="auto"/>
            <w:left w:val="none" w:sz="0" w:space="0" w:color="auto"/>
            <w:bottom w:val="none" w:sz="0" w:space="0" w:color="auto"/>
            <w:right w:val="none" w:sz="0" w:space="0" w:color="auto"/>
          </w:divBdr>
        </w:div>
      </w:divsChild>
    </w:div>
    <w:div w:id="1058019323">
      <w:bodyDiv w:val="1"/>
      <w:marLeft w:val="0"/>
      <w:marRight w:val="0"/>
      <w:marTop w:val="0"/>
      <w:marBottom w:val="0"/>
      <w:divBdr>
        <w:top w:val="none" w:sz="0" w:space="0" w:color="auto"/>
        <w:left w:val="none" w:sz="0" w:space="0" w:color="auto"/>
        <w:bottom w:val="none" w:sz="0" w:space="0" w:color="auto"/>
        <w:right w:val="none" w:sz="0" w:space="0" w:color="auto"/>
      </w:divBdr>
    </w:div>
    <w:div w:id="1059984094">
      <w:bodyDiv w:val="1"/>
      <w:marLeft w:val="0"/>
      <w:marRight w:val="0"/>
      <w:marTop w:val="0"/>
      <w:marBottom w:val="0"/>
      <w:divBdr>
        <w:top w:val="none" w:sz="0" w:space="0" w:color="auto"/>
        <w:left w:val="none" w:sz="0" w:space="0" w:color="auto"/>
        <w:bottom w:val="none" w:sz="0" w:space="0" w:color="auto"/>
        <w:right w:val="none" w:sz="0" w:space="0" w:color="auto"/>
      </w:divBdr>
    </w:div>
    <w:div w:id="1069109683">
      <w:bodyDiv w:val="1"/>
      <w:marLeft w:val="0"/>
      <w:marRight w:val="0"/>
      <w:marTop w:val="0"/>
      <w:marBottom w:val="0"/>
      <w:divBdr>
        <w:top w:val="none" w:sz="0" w:space="0" w:color="auto"/>
        <w:left w:val="none" w:sz="0" w:space="0" w:color="auto"/>
        <w:bottom w:val="none" w:sz="0" w:space="0" w:color="auto"/>
        <w:right w:val="none" w:sz="0" w:space="0" w:color="auto"/>
      </w:divBdr>
    </w:div>
    <w:div w:id="1077436972">
      <w:bodyDiv w:val="1"/>
      <w:marLeft w:val="0"/>
      <w:marRight w:val="0"/>
      <w:marTop w:val="0"/>
      <w:marBottom w:val="0"/>
      <w:divBdr>
        <w:top w:val="none" w:sz="0" w:space="0" w:color="auto"/>
        <w:left w:val="none" w:sz="0" w:space="0" w:color="auto"/>
        <w:bottom w:val="none" w:sz="0" w:space="0" w:color="auto"/>
        <w:right w:val="none" w:sz="0" w:space="0" w:color="auto"/>
      </w:divBdr>
    </w:div>
    <w:div w:id="1092627130">
      <w:bodyDiv w:val="1"/>
      <w:marLeft w:val="0"/>
      <w:marRight w:val="0"/>
      <w:marTop w:val="0"/>
      <w:marBottom w:val="0"/>
      <w:divBdr>
        <w:top w:val="none" w:sz="0" w:space="0" w:color="auto"/>
        <w:left w:val="none" w:sz="0" w:space="0" w:color="auto"/>
        <w:bottom w:val="none" w:sz="0" w:space="0" w:color="auto"/>
        <w:right w:val="none" w:sz="0" w:space="0" w:color="auto"/>
      </w:divBdr>
    </w:div>
    <w:div w:id="1098209236">
      <w:bodyDiv w:val="1"/>
      <w:marLeft w:val="0"/>
      <w:marRight w:val="0"/>
      <w:marTop w:val="0"/>
      <w:marBottom w:val="0"/>
      <w:divBdr>
        <w:top w:val="none" w:sz="0" w:space="0" w:color="auto"/>
        <w:left w:val="none" w:sz="0" w:space="0" w:color="auto"/>
        <w:bottom w:val="none" w:sz="0" w:space="0" w:color="auto"/>
        <w:right w:val="none" w:sz="0" w:space="0" w:color="auto"/>
      </w:divBdr>
    </w:div>
    <w:div w:id="1102989853">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1070725">
      <w:bodyDiv w:val="1"/>
      <w:marLeft w:val="0"/>
      <w:marRight w:val="0"/>
      <w:marTop w:val="0"/>
      <w:marBottom w:val="0"/>
      <w:divBdr>
        <w:top w:val="none" w:sz="0" w:space="0" w:color="auto"/>
        <w:left w:val="none" w:sz="0" w:space="0" w:color="auto"/>
        <w:bottom w:val="none" w:sz="0" w:space="0" w:color="auto"/>
        <w:right w:val="none" w:sz="0" w:space="0" w:color="auto"/>
      </w:divBdr>
    </w:div>
    <w:div w:id="1129544194">
      <w:bodyDiv w:val="1"/>
      <w:marLeft w:val="0"/>
      <w:marRight w:val="0"/>
      <w:marTop w:val="0"/>
      <w:marBottom w:val="0"/>
      <w:divBdr>
        <w:top w:val="none" w:sz="0" w:space="0" w:color="auto"/>
        <w:left w:val="none" w:sz="0" w:space="0" w:color="auto"/>
        <w:bottom w:val="none" w:sz="0" w:space="0" w:color="auto"/>
        <w:right w:val="none" w:sz="0" w:space="0" w:color="auto"/>
      </w:divBdr>
    </w:div>
    <w:div w:id="1131753363">
      <w:bodyDiv w:val="1"/>
      <w:marLeft w:val="0"/>
      <w:marRight w:val="0"/>
      <w:marTop w:val="0"/>
      <w:marBottom w:val="0"/>
      <w:divBdr>
        <w:top w:val="none" w:sz="0" w:space="0" w:color="auto"/>
        <w:left w:val="none" w:sz="0" w:space="0" w:color="auto"/>
        <w:bottom w:val="none" w:sz="0" w:space="0" w:color="auto"/>
        <w:right w:val="none" w:sz="0" w:space="0" w:color="auto"/>
      </w:divBdr>
    </w:div>
    <w:div w:id="1136944837">
      <w:bodyDiv w:val="1"/>
      <w:marLeft w:val="0"/>
      <w:marRight w:val="0"/>
      <w:marTop w:val="0"/>
      <w:marBottom w:val="0"/>
      <w:divBdr>
        <w:top w:val="none" w:sz="0" w:space="0" w:color="auto"/>
        <w:left w:val="none" w:sz="0" w:space="0" w:color="auto"/>
        <w:bottom w:val="none" w:sz="0" w:space="0" w:color="auto"/>
        <w:right w:val="none" w:sz="0" w:space="0" w:color="auto"/>
      </w:divBdr>
    </w:div>
    <w:div w:id="1141852151">
      <w:bodyDiv w:val="1"/>
      <w:marLeft w:val="0"/>
      <w:marRight w:val="0"/>
      <w:marTop w:val="0"/>
      <w:marBottom w:val="0"/>
      <w:divBdr>
        <w:top w:val="none" w:sz="0" w:space="0" w:color="auto"/>
        <w:left w:val="none" w:sz="0" w:space="0" w:color="auto"/>
        <w:bottom w:val="none" w:sz="0" w:space="0" w:color="auto"/>
        <w:right w:val="none" w:sz="0" w:space="0" w:color="auto"/>
      </w:divBdr>
    </w:div>
    <w:div w:id="1148085668">
      <w:bodyDiv w:val="1"/>
      <w:marLeft w:val="0"/>
      <w:marRight w:val="0"/>
      <w:marTop w:val="0"/>
      <w:marBottom w:val="0"/>
      <w:divBdr>
        <w:top w:val="none" w:sz="0" w:space="0" w:color="auto"/>
        <w:left w:val="none" w:sz="0" w:space="0" w:color="auto"/>
        <w:bottom w:val="none" w:sz="0" w:space="0" w:color="auto"/>
        <w:right w:val="none" w:sz="0" w:space="0" w:color="auto"/>
      </w:divBdr>
    </w:div>
    <w:div w:id="1150757020">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56846455">
      <w:bodyDiv w:val="1"/>
      <w:marLeft w:val="0"/>
      <w:marRight w:val="0"/>
      <w:marTop w:val="0"/>
      <w:marBottom w:val="0"/>
      <w:divBdr>
        <w:top w:val="none" w:sz="0" w:space="0" w:color="auto"/>
        <w:left w:val="none" w:sz="0" w:space="0" w:color="auto"/>
        <w:bottom w:val="none" w:sz="0" w:space="0" w:color="auto"/>
        <w:right w:val="none" w:sz="0" w:space="0" w:color="auto"/>
      </w:divBdr>
    </w:div>
    <w:div w:id="1157111697">
      <w:bodyDiv w:val="1"/>
      <w:marLeft w:val="0"/>
      <w:marRight w:val="0"/>
      <w:marTop w:val="0"/>
      <w:marBottom w:val="0"/>
      <w:divBdr>
        <w:top w:val="none" w:sz="0" w:space="0" w:color="auto"/>
        <w:left w:val="none" w:sz="0" w:space="0" w:color="auto"/>
        <w:bottom w:val="none" w:sz="0" w:space="0" w:color="auto"/>
        <w:right w:val="none" w:sz="0" w:space="0" w:color="auto"/>
      </w:divBdr>
    </w:div>
    <w:div w:id="1160342441">
      <w:bodyDiv w:val="1"/>
      <w:marLeft w:val="0"/>
      <w:marRight w:val="0"/>
      <w:marTop w:val="0"/>
      <w:marBottom w:val="0"/>
      <w:divBdr>
        <w:top w:val="none" w:sz="0" w:space="0" w:color="auto"/>
        <w:left w:val="none" w:sz="0" w:space="0" w:color="auto"/>
        <w:bottom w:val="none" w:sz="0" w:space="0" w:color="auto"/>
        <w:right w:val="none" w:sz="0" w:space="0" w:color="auto"/>
      </w:divBdr>
    </w:div>
    <w:div w:id="1161314627">
      <w:bodyDiv w:val="1"/>
      <w:marLeft w:val="0"/>
      <w:marRight w:val="0"/>
      <w:marTop w:val="0"/>
      <w:marBottom w:val="0"/>
      <w:divBdr>
        <w:top w:val="none" w:sz="0" w:space="0" w:color="auto"/>
        <w:left w:val="none" w:sz="0" w:space="0" w:color="auto"/>
        <w:bottom w:val="none" w:sz="0" w:space="0" w:color="auto"/>
        <w:right w:val="none" w:sz="0" w:space="0" w:color="auto"/>
      </w:divBdr>
    </w:div>
    <w:div w:id="1162966754">
      <w:bodyDiv w:val="1"/>
      <w:marLeft w:val="0"/>
      <w:marRight w:val="0"/>
      <w:marTop w:val="0"/>
      <w:marBottom w:val="0"/>
      <w:divBdr>
        <w:top w:val="none" w:sz="0" w:space="0" w:color="auto"/>
        <w:left w:val="none" w:sz="0" w:space="0" w:color="auto"/>
        <w:bottom w:val="none" w:sz="0" w:space="0" w:color="auto"/>
        <w:right w:val="none" w:sz="0" w:space="0" w:color="auto"/>
      </w:divBdr>
    </w:div>
    <w:div w:id="1167013118">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176647786">
      <w:bodyDiv w:val="1"/>
      <w:marLeft w:val="0"/>
      <w:marRight w:val="0"/>
      <w:marTop w:val="0"/>
      <w:marBottom w:val="0"/>
      <w:divBdr>
        <w:top w:val="none" w:sz="0" w:space="0" w:color="auto"/>
        <w:left w:val="none" w:sz="0" w:space="0" w:color="auto"/>
        <w:bottom w:val="none" w:sz="0" w:space="0" w:color="auto"/>
        <w:right w:val="none" w:sz="0" w:space="0" w:color="auto"/>
      </w:divBdr>
    </w:div>
    <w:div w:id="1179320477">
      <w:bodyDiv w:val="1"/>
      <w:marLeft w:val="0"/>
      <w:marRight w:val="0"/>
      <w:marTop w:val="0"/>
      <w:marBottom w:val="0"/>
      <w:divBdr>
        <w:top w:val="none" w:sz="0" w:space="0" w:color="auto"/>
        <w:left w:val="none" w:sz="0" w:space="0" w:color="auto"/>
        <w:bottom w:val="none" w:sz="0" w:space="0" w:color="auto"/>
        <w:right w:val="none" w:sz="0" w:space="0" w:color="auto"/>
      </w:divBdr>
    </w:div>
    <w:div w:id="1183012814">
      <w:bodyDiv w:val="1"/>
      <w:marLeft w:val="0"/>
      <w:marRight w:val="0"/>
      <w:marTop w:val="0"/>
      <w:marBottom w:val="0"/>
      <w:divBdr>
        <w:top w:val="none" w:sz="0" w:space="0" w:color="auto"/>
        <w:left w:val="none" w:sz="0" w:space="0" w:color="auto"/>
        <w:bottom w:val="none" w:sz="0" w:space="0" w:color="auto"/>
        <w:right w:val="none" w:sz="0" w:space="0" w:color="auto"/>
      </w:divBdr>
    </w:div>
    <w:div w:id="1184898638">
      <w:bodyDiv w:val="1"/>
      <w:marLeft w:val="0"/>
      <w:marRight w:val="0"/>
      <w:marTop w:val="0"/>
      <w:marBottom w:val="0"/>
      <w:divBdr>
        <w:top w:val="none" w:sz="0" w:space="0" w:color="auto"/>
        <w:left w:val="none" w:sz="0" w:space="0" w:color="auto"/>
        <w:bottom w:val="none" w:sz="0" w:space="0" w:color="auto"/>
        <w:right w:val="none" w:sz="0" w:space="0" w:color="auto"/>
      </w:divBdr>
    </w:div>
    <w:div w:id="1188986677">
      <w:bodyDiv w:val="1"/>
      <w:marLeft w:val="0"/>
      <w:marRight w:val="0"/>
      <w:marTop w:val="0"/>
      <w:marBottom w:val="0"/>
      <w:divBdr>
        <w:top w:val="none" w:sz="0" w:space="0" w:color="auto"/>
        <w:left w:val="none" w:sz="0" w:space="0" w:color="auto"/>
        <w:bottom w:val="none" w:sz="0" w:space="0" w:color="auto"/>
        <w:right w:val="none" w:sz="0" w:space="0" w:color="auto"/>
      </w:divBdr>
    </w:div>
    <w:div w:id="1200432598">
      <w:bodyDiv w:val="1"/>
      <w:marLeft w:val="0"/>
      <w:marRight w:val="0"/>
      <w:marTop w:val="0"/>
      <w:marBottom w:val="0"/>
      <w:divBdr>
        <w:top w:val="none" w:sz="0" w:space="0" w:color="auto"/>
        <w:left w:val="none" w:sz="0" w:space="0" w:color="auto"/>
        <w:bottom w:val="none" w:sz="0" w:space="0" w:color="auto"/>
        <w:right w:val="none" w:sz="0" w:space="0" w:color="auto"/>
      </w:divBdr>
    </w:div>
    <w:div w:id="1203863121">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07910110">
      <w:bodyDiv w:val="1"/>
      <w:marLeft w:val="0"/>
      <w:marRight w:val="0"/>
      <w:marTop w:val="0"/>
      <w:marBottom w:val="0"/>
      <w:divBdr>
        <w:top w:val="none" w:sz="0" w:space="0" w:color="auto"/>
        <w:left w:val="none" w:sz="0" w:space="0" w:color="auto"/>
        <w:bottom w:val="none" w:sz="0" w:space="0" w:color="auto"/>
        <w:right w:val="none" w:sz="0" w:space="0" w:color="auto"/>
      </w:divBdr>
    </w:div>
    <w:div w:id="1211262600">
      <w:bodyDiv w:val="1"/>
      <w:marLeft w:val="0"/>
      <w:marRight w:val="0"/>
      <w:marTop w:val="0"/>
      <w:marBottom w:val="0"/>
      <w:divBdr>
        <w:top w:val="none" w:sz="0" w:space="0" w:color="auto"/>
        <w:left w:val="none" w:sz="0" w:space="0" w:color="auto"/>
        <w:bottom w:val="none" w:sz="0" w:space="0" w:color="auto"/>
        <w:right w:val="none" w:sz="0" w:space="0" w:color="auto"/>
      </w:divBdr>
    </w:div>
    <w:div w:id="1220625678">
      <w:bodyDiv w:val="1"/>
      <w:marLeft w:val="0"/>
      <w:marRight w:val="0"/>
      <w:marTop w:val="0"/>
      <w:marBottom w:val="0"/>
      <w:divBdr>
        <w:top w:val="none" w:sz="0" w:space="0" w:color="auto"/>
        <w:left w:val="none" w:sz="0" w:space="0" w:color="auto"/>
        <w:bottom w:val="none" w:sz="0" w:space="0" w:color="auto"/>
        <w:right w:val="none" w:sz="0" w:space="0" w:color="auto"/>
      </w:divBdr>
    </w:div>
    <w:div w:id="1222594977">
      <w:bodyDiv w:val="1"/>
      <w:marLeft w:val="0"/>
      <w:marRight w:val="0"/>
      <w:marTop w:val="0"/>
      <w:marBottom w:val="0"/>
      <w:divBdr>
        <w:top w:val="none" w:sz="0" w:space="0" w:color="auto"/>
        <w:left w:val="none" w:sz="0" w:space="0" w:color="auto"/>
        <w:bottom w:val="none" w:sz="0" w:space="0" w:color="auto"/>
        <w:right w:val="none" w:sz="0" w:space="0" w:color="auto"/>
      </w:divBdr>
    </w:div>
    <w:div w:id="1224872836">
      <w:bodyDiv w:val="1"/>
      <w:marLeft w:val="0"/>
      <w:marRight w:val="0"/>
      <w:marTop w:val="0"/>
      <w:marBottom w:val="0"/>
      <w:divBdr>
        <w:top w:val="none" w:sz="0" w:space="0" w:color="auto"/>
        <w:left w:val="none" w:sz="0" w:space="0" w:color="auto"/>
        <w:bottom w:val="none" w:sz="0" w:space="0" w:color="auto"/>
        <w:right w:val="none" w:sz="0" w:space="0" w:color="auto"/>
      </w:divBdr>
    </w:div>
    <w:div w:id="1227302123">
      <w:bodyDiv w:val="1"/>
      <w:marLeft w:val="0"/>
      <w:marRight w:val="0"/>
      <w:marTop w:val="0"/>
      <w:marBottom w:val="0"/>
      <w:divBdr>
        <w:top w:val="none" w:sz="0" w:space="0" w:color="auto"/>
        <w:left w:val="none" w:sz="0" w:space="0" w:color="auto"/>
        <w:bottom w:val="none" w:sz="0" w:space="0" w:color="auto"/>
        <w:right w:val="none" w:sz="0" w:space="0" w:color="auto"/>
      </w:divBdr>
    </w:div>
    <w:div w:id="1227961249">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34048385">
      <w:bodyDiv w:val="1"/>
      <w:marLeft w:val="0"/>
      <w:marRight w:val="0"/>
      <w:marTop w:val="0"/>
      <w:marBottom w:val="0"/>
      <w:divBdr>
        <w:top w:val="none" w:sz="0" w:space="0" w:color="auto"/>
        <w:left w:val="none" w:sz="0" w:space="0" w:color="auto"/>
        <w:bottom w:val="none" w:sz="0" w:space="0" w:color="auto"/>
        <w:right w:val="none" w:sz="0" w:space="0" w:color="auto"/>
      </w:divBdr>
    </w:div>
    <w:div w:id="1239363775">
      <w:bodyDiv w:val="1"/>
      <w:marLeft w:val="0"/>
      <w:marRight w:val="0"/>
      <w:marTop w:val="0"/>
      <w:marBottom w:val="0"/>
      <w:divBdr>
        <w:top w:val="none" w:sz="0" w:space="0" w:color="auto"/>
        <w:left w:val="none" w:sz="0" w:space="0" w:color="auto"/>
        <w:bottom w:val="none" w:sz="0" w:space="0" w:color="auto"/>
        <w:right w:val="none" w:sz="0" w:space="0" w:color="auto"/>
      </w:divBdr>
    </w:div>
    <w:div w:id="1244293671">
      <w:bodyDiv w:val="1"/>
      <w:marLeft w:val="0"/>
      <w:marRight w:val="0"/>
      <w:marTop w:val="0"/>
      <w:marBottom w:val="0"/>
      <w:divBdr>
        <w:top w:val="none" w:sz="0" w:space="0" w:color="auto"/>
        <w:left w:val="none" w:sz="0" w:space="0" w:color="auto"/>
        <w:bottom w:val="none" w:sz="0" w:space="0" w:color="auto"/>
        <w:right w:val="none" w:sz="0" w:space="0" w:color="auto"/>
      </w:divBdr>
    </w:div>
    <w:div w:id="1244757543">
      <w:bodyDiv w:val="1"/>
      <w:marLeft w:val="0"/>
      <w:marRight w:val="0"/>
      <w:marTop w:val="0"/>
      <w:marBottom w:val="0"/>
      <w:divBdr>
        <w:top w:val="none" w:sz="0" w:space="0" w:color="auto"/>
        <w:left w:val="none" w:sz="0" w:space="0" w:color="auto"/>
        <w:bottom w:val="none" w:sz="0" w:space="0" w:color="auto"/>
        <w:right w:val="none" w:sz="0" w:space="0" w:color="auto"/>
      </w:divBdr>
    </w:div>
    <w:div w:id="1248223924">
      <w:bodyDiv w:val="1"/>
      <w:marLeft w:val="0"/>
      <w:marRight w:val="0"/>
      <w:marTop w:val="0"/>
      <w:marBottom w:val="0"/>
      <w:divBdr>
        <w:top w:val="none" w:sz="0" w:space="0" w:color="auto"/>
        <w:left w:val="none" w:sz="0" w:space="0" w:color="auto"/>
        <w:bottom w:val="none" w:sz="0" w:space="0" w:color="auto"/>
        <w:right w:val="none" w:sz="0" w:space="0" w:color="auto"/>
      </w:divBdr>
    </w:div>
    <w:div w:id="1248464835">
      <w:bodyDiv w:val="1"/>
      <w:marLeft w:val="0"/>
      <w:marRight w:val="0"/>
      <w:marTop w:val="0"/>
      <w:marBottom w:val="0"/>
      <w:divBdr>
        <w:top w:val="none" w:sz="0" w:space="0" w:color="auto"/>
        <w:left w:val="none" w:sz="0" w:space="0" w:color="auto"/>
        <w:bottom w:val="none" w:sz="0" w:space="0" w:color="auto"/>
        <w:right w:val="none" w:sz="0" w:space="0" w:color="auto"/>
      </w:divBdr>
    </w:div>
    <w:div w:id="1252465271">
      <w:bodyDiv w:val="1"/>
      <w:marLeft w:val="0"/>
      <w:marRight w:val="0"/>
      <w:marTop w:val="0"/>
      <w:marBottom w:val="0"/>
      <w:divBdr>
        <w:top w:val="none" w:sz="0" w:space="0" w:color="auto"/>
        <w:left w:val="none" w:sz="0" w:space="0" w:color="auto"/>
        <w:bottom w:val="none" w:sz="0" w:space="0" w:color="auto"/>
        <w:right w:val="none" w:sz="0" w:space="0" w:color="auto"/>
      </w:divBdr>
    </w:div>
    <w:div w:id="1252466838">
      <w:bodyDiv w:val="1"/>
      <w:marLeft w:val="0"/>
      <w:marRight w:val="0"/>
      <w:marTop w:val="0"/>
      <w:marBottom w:val="0"/>
      <w:divBdr>
        <w:top w:val="none" w:sz="0" w:space="0" w:color="auto"/>
        <w:left w:val="none" w:sz="0" w:space="0" w:color="auto"/>
        <w:bottom w:val="none" w:sz="0" w:space="0" w:color="auto"/>
        <w:right w:val="none" w:sz="0" w:space="0" w:color="auto"/>
      </w:divBdr>
    </w:div>
    <w:div w:id="1255630231">
      <w:bodyDiv w:val="1"/>
      <w:marLeft w:val="0"/>
      <w:marRight w:val="0"/>
      <w:marTop w:val="0"/>
      <w:marBottom w:val="0"/>
      <w:divBdr>
        <w:top w:val="none" w:sz="0" w:space="0" w:color="auto"/>
        <w:left w:val="none" w:sz="0" w:space="0" w:color="auto"/>
        <w:bottom w:val="none" w:sz="0" w:space="0" w:color="auto"/>
        <w:right w:val="none" w:sz="0" w:space="0" w:color="auto"/>
      </w:divBdr>
    </w:div>
    <w:div w:id="1257709764">
      <w:bodyDiv w:val="1"/>
      <w:marLeft w:val="0"/>
      <w:marRight w:val="0"/>
      <w:marTop w:val="0"/>
      <w:marBottom w:val="0"/>
      <w:divBdr>
        <w:top w:val="none" w:sz="0" w:space="0" w:color="auto"/>
        <w:left w:val="none" w:sz="0" w:space="0" w:color="auto"/>
        <w:bottom w:val="none" w:sz="0" w:space="0" w:color="auto"/>
        <w:right w:val="none" w:sz="0" w:space="0" w:color="auto"/>
      </w:divBdr>
    </w:div>
    <w:div w:id="1271084276">
      <w:bodyDiv w:val="1"/>
      <w:marLeft w:val="0"/>
      <w:marRight w:val="0"/>
      <w:marTop w:val="0"/>
      <w:marBottom w:val="0"/>
      <w:divBdr>
        <w:top w:val="none" w:sz="0" w:space="0" w:color="auto"/>
        <w:left w:val="none" w:sz="0" w:space="0" w:color="auto"/>
        <w:bottom w:val="none" w:sz="0" w:space="0" w:color="auto"/>
        <w:right w:val="none" w:sz="0" w:space="0" w:color="auto"/>
      </w:divBdr>
    </w:div>
    <w:div w:id="1276327139">
      <w:bodyDiv w:val="1"/>
      <w:marLeft w:val="0"/>
      <w:marRight w:val="0"/>
      <w:marTop w:val="0"/>
      <w:marBottom w:val="0"/>
      <w:divBdr>
        <w:top w:val="none" w:sz="0" w:space="0" w:color="auto"/>
        <w:left w:val="none" w:sz="0" w:space="0" w:color="auto"/>
        <w:bottom w:val="none" w:sz="0" w:space="0" w:color="auto"/>
        <w:right w:val="none" w:sz="0" w:space="0" w:color="auto"/>
      </w:divBdr>
    </w:div>
    <w:div w:id="1284382967">
      <w:bodyDiv w:val="1"/>
      <w:marLeft w:val="0"/>
      <w:marRight w:val="0"/>
      <w:marTop w:val="0"/>
      <w:marBottom w:val="0"/>
      <w:divBdr>
        <w:top w:val="none" w:sz="0" w:space="0" w:color="auto"/>
        <w:left w:val="none" w:sz="0" w:space="0" w:color="auto"/>
        <w:bottom w:val="none" w:sz="0" w:space="0" w:color="auto"/>
        <w:right w:val="none" w:sz="0" w:space="0" w:color="auto"/>
      </w:divBdr>
    </w:div>
    <w:div w:id="1295481097">
      <w:bodyDiv w:val="1"/>
      <w:marLeft w:val="0"/>
      <w:marRight w:val="0"/>
      <w:marTop w:val="0"/>
      <w:marBottom w:val="0"/>
      <w:divBdr>
        <w:top w:val="none" w:sz="0" w:space="0" w:color="auto"/>
        <w:left w:val="none" w:sz="0" w:space="0" w:color="auto"/>
        <w:bottom w:val="none" w:sz="0" w:space="0" w:color="auto"/>
        <w:right w:val="none" w:sz="0" w:space="0" w:color="auto"/>
      </w:divBdr>
    </w:div>
    <w:div w:id="1298146407">
      <w:bodyDiv w:val="1"/>
      <w:marLeft w:val="0"/>
      <w:marRight w:val="0"/>
      <w:marTop w:val="0"/>
      <w:marBottom w:val="0"/>
      <w:divBdr>
        <w:top w:val="none" w:sz="0" w:space="0" w:color="auto"/>
        <w:left w:val="none" w:sz="0" w:space="0" w:color="auto"/>
        <w:bottom w:val="none" w:sz="0" w:space="0" w:color="auto"/>
        <w:right w:val="none" w:sz="0" w:space="0" w:color="auto"/>
      </w:divBdr>
    </w:div>
    <w:div w:id="1299796215">
      <w:bodyDiv w:val="1"/>
      <w:marLeft w:val="0"/>
      <w:marRight w:val="0"/>
      <w:marTop w:val="0"/>
      <w:marBottom w:val="0"/>
      <w:divBdr>
        <w:top w:val="none" w:sz="0" w:space="0" w:color="auto"/>
        <w:left w:val="none" w:sz="0" w:space="0" w:color="auto"/>
        <w:bottom w:val="none" w:sz="0" w:space="0" w:color="auto"/>
        <w:right w:val="none" w:sz="0" w:space="0" w:color="auto"/>
      </w:divBdr>
    </w:div>
    <w:div w:id="1304895865">
      <w:bodyDiv w:val="1"/>
      <w:marLeft w:val="0"/>
      <w:marRight w:val="0"/>
      <w:marTop w:val="0"/>
      <w:marBottom w:val="0"/>
      <w:divBdr>
        <w:top w:val="none" w:sz="0" w:space="0" w:color="auto"/>
        <w:left w:val="none" w:sz="0" w:space="0" w:color="auto"/>
        <w:bottom w:val="none" w:sz="0" w:space="0" w:color="auto"/>
        <w:right w:val="none" w:sz="0" w:space="0" w:color="auto"/>
      </w:divBdr>
    </w:div>
    <w:div w:id="130885194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12323405">
      <w:bodyDiv w:val="1"/>
      <w:marLeft w:val="0"/>
      <w:marRight w:val="0"/>
      <w:marTop w:val="0"/>
      <w:marBottom w:val="0"/>
      <w:divBdr>
        <w:top w:val="none" w:sz="0" w:space="0" w:color="auto"/>
        <w:left w:val="none" w:sz="0" w:space="0" w:color="auto"/>
        <w:bottom w:val="none" w:sz="0" w:space="0" w:color="auto"/>
        <w:right w:val="none" w:sz="0" w:space="0" w:color="auto"/>
      </w:divBdr>
      <w:divsChild>
        <w:div w:id="875852065">
          <w:marLeft w:val="446"/>
          <w:marRight w:val="0"/>
          <w:marTop w:val="0"/>
          <w:marBottom w:val="0"/>
          <w:divBdr>
            <w:top w:val="none" w:sz="0" w:space="0" w:color="auto"/>
            <w:left w:val="none" w:sz="0" w:space="0" w:color="auto"/>
            <w:bottom w:val="none" w:sz="0" w:space="0" w:color="auto"/>
            <w:right w:val="none" w:sz="0" w:space="0" w:color="auto"/>
          </w:divBdr>
        </w:div>
        <w:div w:id="2030981535">
          <w:marLeft w:val="1166"/>
          <w:marRight w:val="0"/>
          <w:marTop w:val="0"/>
          <w:marBottom w:val="0"/>
          <w:divBdr>
            <w:top w:val="none" w:sz="0" w:space="0" w:color="auto"/>
            <w:left w:val="none" w:sz="0" w:space="0" w:color="auto"/>
            <w:bottom w:val="none" w:sz="0" w:space="0" w:color="auto"/>
            <w:right w:val="none" w:sz="0" w:space="0" w:color="auto"/>
          </w:divBdr>
        </w:div>
      </w:divsChild>
    </w:div>
    <w:div w:id="1320420703">
      <w:bodyDiv w:val="1"/>
      <w:marLeft w:val="0"/>
      <w:marRight w:val="0"/>
      <w:marTop w:val="0"/>
      <w:marBottom w:val="0"/>
      <w:divBdr>
        <w:top w:val="none" w:sz="0" w:space="0" w:color="auto"/>
        <w:left w:val="none" w:sz="0" w:space="0" w:color="auto"/>
        <w:bottom w:val="none" w:sz="0" w:space="0" w:color="auto"/>
        <w:right w:val="none" w:sz="0" w:space="0" w:color="auto"/>
      </w:divBdr>
    </w:div>
    <w:div w:id="1320426584">
      <w:bodyDiv w:val="1"/>
      <w:marLeft w:val="0"/>
      <w:marRight w:val="0"/>
      <w:marTop w:val="0"/>
      <w:marBottom w:val="0"/>
      <w:divBdr>
        <w:top w:val="none" w:sz="0" w:space="0" w:color="auto"/>
        <w:left w:val="none" w:sz="0" w:space="0" w:color="auto"/>
        <w:bottom w:val="none" w:sz="0" w:space="0" w:color="auto"/>
        <w:right w:val="none" w:sz="0" w:space="0" w:color="auto"/>
      </w:divBdr>
    </w:div>
    <w:div w:id="1321350533">
      <w:bodyDiv w:val="1"/>
      <w:marLeft w:val="0"/>
      <w:marRight w:val="0"/>
      <w:marTop w:val="0"/>
      <w:marBottom w:val="0"/>
      <w:divBdr>
        <w:top w:val="none" w:sz="0" w:space="0" w:color="auto"/>
        <w:left w:val="none" w:sz="0" w:space="0" w:color="auto"/>
        <w:bottom w:val="none" w:sz="0" w:space="0" w:color="auto"/>
        <w:right w:val="none" w:sz="0" w:space="0" w:color="auto"/>
      </w:divBdr>
    </w:div>
    <w:div w:id="1328821607">
      <w:bodyDiv w:val="1"/>
      <w:marLeft w:val="0"/>
      <w:marRight w:val="0"/>
      <w:marTop w:val="0"/>
      <w:marBottom w:val="0"/>
      <w:divBdr>
        <w:top w:val="none" w:sz="0" w:space="0" w:color="auto"/>
        <w:left w:val="none" w:sz="0" w:space="0" w:color="auto"/>
        <w:bottom w:val="none" w:sz="0" w:space="0" w:color="auto"/>
        <w:right w:val="none" w:sz="0" w:space="0" w:color="auto"/>
      </w:divBdr>
    </w:div>
    <w:div w:id="1334796772">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6610020">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42731871">
      <w:bodyDiv w:val="1"/>
      <w:marLeft w:val="0"/>
      <w:marRight w:val="0"/>
      <w:marTop w:val="0"/>
      <w:marBottom w:val="0"/>
      <w:divBdr>
        <w:top w:val="none" w:sz="0" w:space="0" w:color="auto"/>
        <w:left w:val="none" w:sz="0" w:space="0" w:color="auto"/>
        <w:bottom w:val="none" w:sz="0" w:space="0" w:color="auto"/>
        <w:right w:val="none" w:sz="0" w:space="0" w:color="auto"/>
      </w:divBdr>
    </w:div>
    <w:div w:id="1355882110">
      <w:bodyDiv w:val="1"/>
      <w:marLeft w:val="0"/>
      <w:marRight w:val="0"/>
      <w:marTop w:val="0"/>
      <w:marBottom w:val="0"/>
      <w:divBdr>
        <w:top w:val="none" w:sz="0" w:space="0" w:color="auto"/>
        <w:left w:val="none" w:sz="0" w:space="0" w:color="auto"/>
        <w:bottom w:val="none" w:sz="0" w:space="0" w:color="auto"/>
        <w:right w:val="none" w:sz="0" w:space="0" w:color="auto"/>
      </w:divBdr>
    </w:div>
    <w:div w:id="1359310903">
      <w:bodyDiv w:val="1"/>
      <w:marLeft w:val="0"/>
      <w:marRight w:val="0"/>
      <w:marTop w:val="0"/>
      <w:marBottom w:val="0"/>
      <w:divBdr>
        <w:top w:val="none" w:sz="0" w:space="0" w:color="auto"/>
        <w:left w:val="none" w:sz="0" w:space="0" w:color="auto"/>
        <w:bottom w:val="none" w:sz="0" w:space="0" w:color="auto"/>
        <w:right w:val="none" w:sz="0" w:space="0" w:color="auto"/>
      </w:divBdr>
    </w:div>
    <w:div w:id="1362826157">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5401483">
      <w:bodyDiv w:val="1"/>
      <w:marLeft w:val="0"/>
      <w:marRight w:val="0"/>
      <w:marTop w:val="0"/>
      <w:marBottom w:val="0"/>
      <w:divBdr>
        <w:top w:val="none" w:sz="0" w:space="0" w:color="auto"/>
        <w:left w:val="none" w:sz="0" w:space="0" w:color="auto"/>
        <w:bottom w:val="none" w:sz="0" w:space="0" w:color="auto"/>
        <w:right w:val="none" w:sz="0" w:space="0" w:color="auto"/>
      </w:divBdr>
    </w:div>
    <w:div w:id="1368604985">
      <w:bodyDiv w:val="1"/>
      <w:marLeft w:val="0"/>
      <w:marRight w:val="0"/>
      <w:marTop w:val="0"/>
      <w:marBottom w:val="0"/>
      <w:divBdr>
        <w:top w:val="none" w:sz="0" w:space="0" w:color="auto"/>
        <w:left w:val="none" w:sz="0" w:space="0" w:color="auto"/>
        <w:bottom w:val="none" w:sz="0" w:space="0" w:color="auto"/>
        <w:right w:val="none" w:sz="0" w:space="0" w:color="auto"/>
      </w:divBdr>
    </w:div>
    <w:div w:id="1374815560">
      <w:bodyDiv w:val="1"/>
      <w:marLeft w:val="0"/>
      <w:marRight w:val="0"/>
      <w:marTop w:val="0"/>
      <w:marBottom w:val="0"/>
      <w:divBdr>
        <w:top w:val="none" w:sz="0" w:space="0" w:color="auto"/>
        <w:left w:val="none" w:sz="0" w:space="0" w:color="auto"/>
        <w:bottom w:val="none" w:sz="0" w:space="0" w:color="auto"/>
        <w:right w:val="none" w:sz="0" w:space="0" w:color="auto"/>
      </w:divBdr>
    </w:div>
    <w:div w:id="1375157875">
      <w:bodyDiv w:val="1"/>
      <w:marLeft w:val="0"/>
      <w:marRight w:val="0"/>
      <w:marTop w:val="0"/>
      <w:marBottom w:val="0"/>
      <w:divBdr>
        <w:top w:val="none" w:sz="0" w:space="0" w:color="auto"/>
        <w:left w:val="none" w:sz="0" w:space="0" w:color="auto"/>
        <w:bottom w:val="none" w:sz="0" w:space="0" w:color="auto"/>
        <w:right w:val="none" w:sz="0" w:space="0" w:color="auto"/>
      </w:divBdr>
    </w:div>
    <w:div w:id="1379862684">
      <w:bodyDiv w:val="1"/>
      <w:marLeft w:val="0"/>
      <w:marRight w:val="0"/>
      <w:marTop w:val="0"/>
      <w:marBottom w:val="0"/>
      <w:divBdr>
        <w:top w:val="none" w:sz="0" w:space="0" w:color="auto"/>
        <w:left w:val="none" w:sz="0" w:space="0" w:color="auto"/>
        <w:bottom w:val="none" w:sz="0" w:space="0" w:color="auto"/>
        <w:right w:val="none" w:sz="0" w:space="0" w:color="auto"/>
      </w:divBdr>
    </w:div>
    <w:div w:id="1389456209">
      <w:bodyDiv w:val="1"/>
      <w:marLeft w:val="0"/>
      <w:marRight w:val="0"/>
      <w:marTop w:val="0"/>
      <w:marBottom w:val="0"/>
      <w:divBdr>
        <w:top w:val="none" w:sz="0" w:space="0" w:color="auto"/>
        <w:left w:val="none" w:sz="0" w:space="0" w:color="auto"/>
        <w:bottom w:val="none" w:sz="0" w:space="0" w:color="auto"/>
        <w:right w:val="none" w:sz="0" w:space="0" w:color="auto"/>
      </w:divBdr>
    </w:div>
    <w:div w:id="1396658771">
      <w:bodyDiv w:val="1"/>
      <w:marLeft w:val="0"/>
      <w:marRight w:val="0"/>
      <w:marTop w:val="0"/>
      <w:marBottom w:val="0"/>
      <w:divBdr>
        <w:top w:val="none" w:sz="0" w:space="0" w:color="auto"/>
        <w:left w:val="none" w:sz="0" w:space="0" w:color="auto"/>
        <w:bottom w:val="none" w:sz="0" w:space="0" w:color="auto"/>
        <w:right w:val="none" w:sz="0" w:space="0" w:color="auto"/>
      </w:divBdr>
    </w:div>
    <w:div w:id="1405833356">
      <w:bodyDiv w:val="1"/>
      <w:marLeft w:val="0"/>
      <w:marRight w:val="0"/>
      <w:marTop w:val="0"/>
      <w:marBottom w:val="0"/>
      <w:divBdr>
        <w:top w:val="none" w:sz="0" w:space="0" w:color="auto"/>
        <w:left w:val="none" w:sz="0" w:space="0" w:color="auto"/>
        <w:bottom w:val="none" w:sz="0" w:space="0" w:color="auto"/>
        <w:right w:val="none" w:sz="0" w:space="0" w:color="auto"/>
      </w:divBdr>
    </w:div>
    <w:div w:id="1412387189">
      <w:bodyDiv w:val="1"/>
      <w:marLeft w:val="0"/>
      <w:marRight w:val="0"/>
      <w:marTop w:val="0"/>
      <w:marBottom w:val="0"/>
      <w:divBdr>
        <w:top w:val="none" w:sz="0" w:space="0" w:color="auto"/>
        <w:left w:val="none" w:sz="0" w:space="0" w:color="auto"/>
        <w:bottom w:val="none" w:sz="0" w:space="0" w:color="auto"/>
        <w:right w:val="none" w:sz="0" w:space="0" w:color="auto"/>
      </w:divBdr>
    </w:div>
    <w:div w:id="1413745558">
      <w:bodyDiv w:val="1"/>
      <w:marLeft w:val="0"/>
      <w:marRight w:val="0"/>
      <w:marTop w:val="0"/>
      <w:marBottom w:val="0"/>
      <w:divBdr>
        <w:top w:val="none" w:sz="0" w:space="0" w:color="auto"/>
        <w:left w:val="none" w:sz="0" w:space="0" w:color="auto"/>
        <w:bottom w:val="none" w:sz="0" w:space="0" w:color="auto"/>
        <w:right w:val="none" w:sz="0" w:space="0" w:color="auto"/>
      </w:divBdr>
    </w:div>
    <w:div w:id="1414469253">
      <w:bodyDiv w:val="1"/>
      <w:marLeft w:val="0"/>
      <w:marRight w:val="0"/>
      <w:marTop w:val="0"/>
      <w:marBottom w:val="0"/>
      <w:divBdr>
        <w:top w:val="none" w:sz="0" w:space="0" w:color="auto"/>
        <w:left w:val="none" w:sz="0" w:space="0" w:color="auto"/>
        <w:bottom w:val="none" w:sz="0" w:space="0" w:color="auto"/>
        <w:right w:val="none" w:sz="0" w:space="0" w:color="auto"/>
      </w:divBdr>
    </w:div>
    <w:div w:id="1415321801">
      <w:bodyDiv w:val="1"/>
      <w:marLeft w:val="0"/>
      <w:marRight w:val="0"/>
      <w:marTop w:val="0"/>
      <w:marBottom w:val="0"/>
      <w:divBdr>
        <w:top w:val="none" w:sz="0" w:space="0" w:color="auto"/>
        <w:left w:val="none" w:sz="0" w:space="0" w:color="auto"/>
        <w:bottom w:val="none" w:sz="0" w:space="0" w:color="auto"/>
        <w:right w:val="none" w:sz="0" w:space="0" w:color="auto"/>
      </w:divBdr>
    </w:div>
    <w:div w:id="1417243552">
      <w:bodyDiv w:val="1"/>
      <w:marLeft w:val="0"/>
      <w:marRight w:val="0"/>
      <w:marTop w:val="0"/>
      <w:marBottom w:val="0"/>
      <w:divBdr>
        <w:top w:val="none" w:sz="0" w:space="0" w:color="auto"/>
        <w:left w:val="none" w:sz="0" w:space="0" w:color="auto"/>
        <w:bottom w:val="none" w:sz="0" w:space="0" w:color="auto"/>
        <w:right w:val="none" w:sz="0" w:space="0" w:color="auto"/>
      </w:divBdr>
    </w:div>
    <w:div w:id="1419131874">
      <w:bodyDiv w:val="1"/>
      <w:marLeft w:val="0"/>
      <w:marRight w:val="0"/>
      <w:marTop w:val="0"/>
      <w:marBottom w:val="0"/>
      <w:divBdr>
        <w:top w:val="none" w:sz="0" w:space="0" w:color="auto"/>
        <w:left w:val="none" w:sz="0" w:space="0" w:color="auto"/>
        <w:bottom w:val="none" w:sz="0" w:space="0" w:color="auto"/>
        <w:right w:val="none" w:sz="0" w:space="0" w:color="auto"/>
      </w:divBdr>
    </w:div>
    <w:div w:id="1425954739">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43455601">
      <w:bodyDiv w:val="1"/>
      <w:marLeft w:val="0"/>
      <w:marRight w:val="0"/>
      <w:marTop w:val="0"/>
      <w:marBottom w:val="0"/>
      <w:divBdr>
        <w:top w:val="none" w:sz="0" w:space="0" w:color="auto"/>
        <w:left w:val="none" w:sz="0" w:space="0" w:color="auto"/>
        <w:bottom w:val="none" w:sz="0" w:space="0" w:color="auto"/>
        <w:right w:val="none" w:sz="0" w:space="0" w:color="auto"/>
      </w:divBdr>
    </w:div>
    <w:div w:id="1443764256">
      <w:bodyDiv w:val="1"/>
      <w:marLeft w:val="0"/>
      <w:marRight w:val="0"/>
      <w:marTop w:val="0"/>
      <w:marBottom w:val="0"/>
      <w:divBdr>
        <w:top w:val="none" w:sz="0" w:space="0" w:color="auto"/>
        <w:left w:val="none" w:sz="0" w:space="0" w:color="auto"/>
        <w:bottom w:val="none" w:sz="0" w:space="0" w:color="auto"/>
        <w:right w:val="none" w:sz="0" w:space="0" w:color="auto"/>
      </w:divBdr>
    </w:div>
    <w:div w:id="1446149736">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7641081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87011973">
      <w:bodyDiv w:val="1"/>
      <w:marLeft w:val="0"/>
      <w:marRight w:val="0"/>
      <w:marTop w:val="0"/>
      <w:marBottom w:val="0"/>
      <w:divBdr>
        <w:top w:val="none" w:sz="0" w:space="0" w:color="auto"/>
        <w:left w:val="none" w:sz="0" w:space="0" w:color="auto"/>
        <w:bottom w:val="none" w:sz="0" w:space="0" w:color="auto"/>
        <w:right w:val="none" w:sz="0" w:space="0" w:color="auto"/>
      </w:divBdr>
    </w:div>
    <w:div w:id="1489664184">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0390279">
      <w:bodyDiv w:val="1"/>
      <w:marLeft w:val="0"/>
      <w:marRight w:val="0"/>
      <w:marTop w:val="0"/>
      <w:marBottom w:val="0"/>
      <w:divBdr>
        <w:top w:val="none" w:sz="0" w:space="0" w:color="auto"/>
        <w:left w:val="none" w:sz="0" w:space="0" w:color="auto"/>
        <w:bottom w:val="none" w:sz="0" w:space="0" w:color="auto"/>
        <w:right w:val="none" w:sz="0" w:space="0" w:color="auto"/>
      </w:divBdr>
    </w:div>
    <w:div w:id="1506626769">
      <w:bodyDiv w:val="1"/>
      <w:marLeft w:val="0"/>
      <w:marRight w:val="0"/>
      <w:marTop w:val="0"/>
      <w:marBottom w:val="0"/>
      <w:divBdr>
        <w:top w:val="none" w:sz="0" w:space="0" w:color="auto"/>
        <w:left w:val="none" w:sz="0" w:space="0" w:color="auto"/>
        <w:bottom w:val="none" w:sz="0" w:space="0" w:color="auto"/>
        <w:right w:val="none" w:sz="0" w:space="0" w:color="auto"/>
      </w:divBdr>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14031292">
      <w:bodyDiv w:val="1"/>
      <w:marLeft w:val="0"/>
      <w:marRight w:val="0"/>
      <w:marTop w:val="0"/>
      <w:marBottom w:val="0"/>
      <w:divBdr>
        <w:top w:val="none" w:sz="0" w:space="0" w:color="auto"/>
        <w:left w:val="none" w:sz="0" w:space="0" w:color="auto"/>
        <w:bottom w:val="none" w:sz="0" w:space="0" w:color="auto"/>
        <w:right w:val="none" w:sz="0" w:space="0" w:color="auto"/>
      </w:divBdr>
    </w:div>
    <w:div w:id="1519734940">
      <w:bodyDiv w:val="1"/>
      <w:marLeft w:val="0"/>
      <w:marRight w:val="0"/>
      <w:marTop w:val="0"/>
      <w:marBottom w:val="0"/>
      <w:divBdr>
        <w:top w:val="none" w:sz="0" w:space="0" w:color="auto"/>
        <w:left w:val="none" w:sz="0" w:space="0" w:color="auto"/>
        <w:bottom w:val="none" w:sz="0" w:space="0" w:color="auto"/>
        <w:right w:val="none" w:sz="0" w:space="0" w:color="auto"/>
      </w:divBdr>
    </w:div>
    <w:div w:id="1523519859">
      <w:bodyDiv w:val="1"/>
      <w:marLeft w:val="0"/>
      <w:marRight w:val="0"/>
      <w:marTop w:val="0"/>
      <w:marBottom w:val="0"/>
      <w:divBdr>
        <w:top w:val="none" w:sz="0" w:space="0" w:color="auto"/>
        <w:left w:val="none" w:sz="0" w:space="0" w:color="auto"/>
        <w:bottom w:val="none" w:sz="0" w:space="0" w:color="auto"/>
        <w:right w:val="none" w:sz="0" w:space="0" w:color="auto"/>
      </w:divBdr>
    </w:div>
    <w:div w:id="1525754241">
      <w:bodyDiv w:val="1"/>
      <w:marLeft w:val="0"/>
      <w:marRight w:val="0"/>
      <w:marTop w:val="0"/>
      <w:marBottom w:val="0"/>
      <w:divBdr>
        <w:top w:val="none" w:sz="0" w:space="0" w:color="auto"/>
        <w:left w:val="none" w:sz="0" w:space="0" w:color="auto"/>
        <w:bottom w:val="none" w:sz="0" w:space="0" w:color="auto"/>
        <w:right w:val="none" w:sz="0" w:space="0" w:color="auto"/>
      </w:divBdr>
    </w:div>
    <w:div w:id="1529611152">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2188184">
      <w:bodyDiv w:val="1"/>
      <w:marLeft w:val="0"/>
      <w:marRight w:val="0"/>
      <w:marTop w:val="0"/>
      <w:marBottom w:val="0"/>
      <w:divBdr>
        <w:top w:val="none" w:sz="0" w:space="0" w:color="auto"/>
        <w:left w:val="none" w:sz="0" w:space="0" w:color="auto"/>
        <w:bottom w:val="none" w:sz="0" w:space="0" w:color="auto"/>
        <w:right w:val="none" w:sz="0" w:space="0" w:color="auto"/>
      </w:divBdr>
    </w:div>
    <w:div w:id="1539472527">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544901419">
      <w:bodyDiv w:val="1"/>
      <w:marLeft w:val="0"/>
      <w:marRight w:val="0"/>
      <w:marTop w:val="0"/>
      <w:marBottom w:val="0"/>
      <w:divBdr>
        <w:top w:val="none" w:sz="0" w:space="0" w:color="auto"/>
        <w:left w:val="none" w:sz="0" w:space="0" w:color="auto"/>
        <w:bottom w:val="none" w:sz="0" w:space="0" w:color="auto"/>
        <w:right w:val="none" w:sz="0" w:space="0" w:color="auto"/>
      </w:divBdr>
    </w:div>
    <w:div w:id="1550608254">
      <w:bodyDiv w:val="1"/>
      <w:marLeft w:val="0"/>
      <w:marRight w:val="0"/>
      <w:marTop w:val="0"/>
      <w:marBottom w:val="0"/>
      <w:divBdr>
        <w:top w:val="none" w:sz="0" w:space="0" w:color="auto"/>
        <w:left w:val="none" w:sz="0" w:space="0" w:color="auto"/>
        <w:bottom w:val="none" w:sz="0" w:space="0" w:color="auto"/>
        <w:right w:val="none" w:sz="0" w:space="0" w:color="auto"/>
      </w:divBdr>
    </w:div>
    <w:div w:id="1553617744">
      <w:bodyDiv w:val="1"/>
      <w:marLeft w:val="0"/>
      <w:marRight w:val="0"/>
      <w:marTop w:val="0"/>
      <w:marBottom w:val="0"/>
      <w:divBdr>
        <w:top w:val="none" w:sz="0" w:space="0" w:color="auto"/>
        <w:left w:val="none" w:sz="0" w:space="0" w:color="auto"/>
        <w:bottom w:val="none" w:sz="0" w:space="0" w:color="auto"/>
        <w:right w:val="none" w:sz="0" w:space="0" w:color="auto"/>
      </w:divBdr>
    </w:div>
    <w:div w:id="1559248249">
      <w:bodyDiv w:val="1"/>
      <w:marLeft w:val="0"/>
      <w:marRight w:val="0"/>
      <w:marTop w:val="0"/>
      <w:marBottom w:val="0"/>
      <w:divBdr>
        <w:top w:val="none" w:sz="0" w:space="0" w:color="auto"/>
        <w:left w:val="none" w:sz="0" w:space="0" w:color="auto"/>
        <w:bottom w:val="none" w:sz="0" w:space="0" w:color="auto"/>
        <w:right w:val="none" w:sz="0" w:space="0" w:color="auto"/>
      </w:divBdr>
    </w:div>
    <w:div w:id="1565481669">
      <w:bodyDiv w:val="1"/>
      <w:marLeft w:val="0"/>
      <w:marRight w:val="0"/>
      <w:marTop w:val="0"/>
      <w:marBottom w:val="0"/>
      <w:divBdr>
        <w:top w:val="none" w:sz="0" w:space="0" w:color="auto"/>
        <w:left w:val="none" w:sz="0" w:space="0" w:color="auto"/>
        <w:bottom w:val="none" w:sz="0" w:space="0" w:color="auto"/>
        <w:right w:val="none" w:sz="0" w:space="0" w:color="auto"/>
      </w:divBdr>
    </w:div>
    <w:div w:id="1565989334">
      <w:bodyDiv w:val="1"/>
      <w:marLeft w:val="0"/>
      <w:marRight w:val="0"/>
      <w:marTop w:val="0"/>
      <w:marBottom w:val="0"/>
      <w:divBdr>
        <w:top w:val="none" w:sz="0" w:space="0" w:color="auto"/>
        <w:left w:val="none" w:sz="0" w:space="0" w:color="auto"/>
        <w:bottom w:val="none" w:sz="0" w:space="0" w:color="auto"/>
        <w:right w:val="none" w:sz="0" w:space="0" w:color="auto"/>
      </w:divBdr>
    </w:div>
    <w:div w:id="1584794743">
      <w:bodyDiv w:val="1"/>
      <w:marLeft w:val="0"/>
      <w:marRight w:val="0"/>
      <w:marTop w:val="0"/>
      <w:marBottom w:val="0"/>
      <w:divBdr>
        <w:top w:val="none" w:sz="0" w:space="0" w:color="auto"/>
        <w:left w:val="none" w:sz="0" w:space="0" w:color="auto"/>
        <w:bottom w:val="none" w:sz="0" w:space="0" w:color="auto"/>
        <w:right w:val="none" w:sz="0" w:space="0" w:color="auto"/>
      </w:divBdr>
    </w:div>
    <w:div w:id="1600212097">
      <w:bodyDiv w:val="1"/>
      <w:marLeft w:val="0"/>
      <w:marRight w:val="0"/>
      <w:marTop w:val="0"/>
      <w:marBottom w:val="0"/>
      <w:divBdr>
        <w:top w:val="none" w:sz="0" w:space="0" w:color="auto"/>
        <w:left w:val="none" w:sz="0" w:space="0" w:color="auto"/>
        <w:bottom w:val="none" w:sz="0" w:space="0" w:color="auto"/>
        <w:right w:val="none" w:sz="0" w:space="0" w:color="auto"/>
      </w:divBdr>
    </w:div>
    <w:div w:id="1604071905">
      <w:bodyDiv w:val="1"/>
      <w:marLeft w:val="0"/>
      <w:marRight w:val="0"/>
      <w:marTop w:val="0"/>
      <w:marBottom w:val="0"/>
      <w:divBdr>
        <w:top w:val="none" w:sz="0" w:space="0" w:color="auto"/>
        <w:left w:val="none" w:sz="0" w:space="0" w:color="auto"/>
        <w:bottom w:val="none" w:sz="0" w:space="0" w:color="auto"/>
        <w:right w:val="none" w:sz="0" w:space="0" w:color="auto"/>
      </w:divBdr>
    </w:div>
    <w:div w:id="1606419296">
      <w:bodyDiv w:val="1"/>
      <w:marLeft w:val="0"/>
      <w:marRight w:val="0"/>
      <w:marTop w:val="0"/>
      <w:marBottom w:val="0"/>
      <w:divBdr>
        <w:top w:val="none" w:sz="0" w:space="0" w:color="auto"/>
        <w:left w:val="none" w:sz="0" w:space="0" w:color="auto"/>
        <w:bottom w:val="none" w:sz="0" w:space="0" w:color="auto"/>
        <w:right w:val="none" w:sz="0" w:space="0" w:color="auto"/>
      </w:divBdr>
    </w:div>
    <w:div w:id="1606843280">
      <w:bodyDiv w:val="1"/>
      <w:marLeft w:val="0"/>
      <w:marRight w:val="0"/>
      <w:marTop w:val="0"/>
      <w:marBottom w:val="0"/>
      <w:divBdr>
        <w:top w:val="none" w:sz="0" w:space="0" w:color="auto"/>
        <w:left w:val="none" w:sz="0" w:space="0" w:color="auto"/>
        <w:bottom w:val="none" w:sz="0" w:space="0" w:color="auto"/>
        <w:right w:val="none" w:sz="0" w:space="0" w:color="auto"/>
      </w:divBdr>
    </w:div>
    <w:div w:id="1608810212">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0260310">
      <w:bodyDiv w:val="1"/>
      <w:marLeft w:val="0"/>
      <w:marRight w:val="0"/>
      <w:marTop w:val="0"/>
      <w:marBottom w:val="0"/>
      <w:divBdr>
        <w:top w:val="none" w:sz="0" w:space="0" w:color="auto"/>
        <w:left w:val="none" w:sz="0" w:space="0" w:color="auto"/>
        <w:bottom w:val="none" w:sz="0" w:space="0" w:color="auto"/>
        <w:right w:val="none" w:sz="0" w:space="0" w:color="auto"/>
      </w:divBdr>
    </w:div>
    <w:div w:id="1620916792">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56908381">
      <w:bodyDiv w:val="1"/>
      <w:marLeft w:val="0"/>
      <w:marRight w:val="0"/>
      <w:marTop w:val="0"/>
      <w:marBottom w:val="0"/>
      <w:divBdr>
        <w:top w:val="none" w:sz="0" w:space="0" w:color="auto"/>
        <w:left w:val="none" w:sz="0" w:space="0" w:color="auto"/>
        <w:bottom w:val="none" w:sz="0" w:space="0" w:color="auto"/>
        <w:right w:val="none" w:sz="0" w:space="0" w:color="auto"/>
      </w:divBdr>
    </w:div>
    <w:div w:id="1660693888">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63776504">
      <w:bodyDiv w:val="1"/>
      <w:marLeft w:val="0"/>
      <w:marRight w:val="0"/>
      <w:marTop w:val="0"/>
      <w:marBottom w:val="0"/>
      <w:divBdr>
        <w:top w:val="none" w:sz="0" w:space="0" w:color="auto"/>
        <w:left w:val="none" w:sz="0" w:space="0" w:color="auto"/>
        <w:bottom w:val="none" w:sz="0" w:space="0" w:color="auto"/>
        <w:right w:val="none" w:sz="0" w:space="0" w:color="auto"/>
      </w:divBdr>
    </w:div>
    <w:div w:id="1663969701">
      <w:bodyDiv w:val="1"/>
      <w:marLeft w:val="0"/>
      <w:marRight w:val="0"/>
      <w:marTop w:val="0"/>
      <w:marBottom w:val="0"/>
      <w:divBdr>
        <w:top w:val="none" w:sz="0" w:space="0" w:color="auto"/>
        <w:left w:val="none" w:sz="0" w:space="0" w:color="auto"/>
        <w:bottom w:val="none" w:sz="0" w:space="0" w:color="auto"/>
        <w:right w:val="none" w:sz="0" w:space="0" w:color="auto"/>
      </w:divBdr>
    </w:div>
    <w:div w:id="1667631089">
      <w:bodyDiv w:val="1"/>
      <w:marLeft w:val="0"/>
      <w:marRight w:val="0"/>
      <w:marTop w:val="0"/>
      <w:marBottom w:val="0"/>
      <w:divBdr>
        <w:top w:val="none" w:sz="0" w:space="0" w:color="auto"/>
        <w:left w:val="none" w:sz="0" w:space="0" w:color="auto"/>
        <w:bottom w:val="none" w:sz="0" w:space="0" w:color="auto"/>
        <w:right w:val="none" w:sz="0" w:space="0" w:color="auto"/>
      </w:divBdr>
    </w:div>
    <w:div w:id="1668513653">
      <w:bodyDiv w:val="1"/>
      <w:marLeft w:val="0"/>
      <w:marRight w:val="0"/>
      <w:marTop w:val="0"/>
      <w:marBottom w:val="0"/>
      <w:divBdr>
        <w:top w:val="none" w:sz="0" w:space="0" w:color="auto"/>
        <w:left w:val="none" w:sz="0" w:space="0" w:color="auto"/>
        <w:bottom w:val="none" w:sz="0" w:space="0" w:color="auto"/>
        <w:right w:val="none" w:sz="0" w:space="0" w:color="auto"/>
      </w:divBdr>
    </w:div>
    <w:div w:id="1674264283">
      <w:bodyDiv w:val="1"/>
      <w:marLeft w:val="0"/>
      <w:marRight w:val="0"/>
      <w:marTop w:val="0"/>
      <w:marBottom w:val="0"/>
      <w:divBdr>
        <w:top w:val="none" w:sz="0" w:space="0" w:color="auto"/>
        <w:left w:val="none" w:sz="0" w:space="0" w:color="auto"/>
        <w:bottom w:val="none" w:sz="0" w:space="0" w:color="auto"/>
        <w:right w:val="none" w:sz="0" w:space="0" w:color="auto"/>
      </w:divBdr>
    </w:div>
    <w:div w:id="1681003933">
      <w:bodyDiv w:val="1"/>
      <w:marLeft w:val="0"/>
      <w:marRight w:val="0"/>
      <w:marTop w:val="0"/>
      <w:marBottom w:val="0"/>
      <w:divBdr>
        <w:top w:val="none" w:sz="0" w:space="0" w:color="auto"/>
        <w:left w:val="none" w:sz="0" w:space="0" w:color="auto"/>
        <w:bottom w:val="none" w:sz="0" w:space="0" w:color="auto"/>
        <w:right w:val="none" w:sz="0" w:space="0" w:color="auto"/>
      </w:divBdr>
      <w:divsChild>
        <w:div w:id="2018314029">
          <w:marLeft w:val="360"/>
          <w:marRight w:val="0"/>
          <w:marTop w:val="200"/>
          <w:marBottom w:val="0"/>
          <w:divBdr>
            <w:top w:val="none" w:sz="0" w:space="0" w:color="auto"/>
            <w:left w:val="none" w:sz="0" w:space="0" w:color="auto"/>
            <w:bottom w:val="none" w:sz="0" w:space="0" w:color="auto"/>
            <w:right w:val="none" w:sz="0" w:space="0" w:color="auto"/>
          </w:divBdr>
        </w:div>
      </w:divsChild>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06981415">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52308214">
      <w:bodyDiv w:val="1"/>
      <w:marLeft w:val="0"/>
      <w:marRight w:val="0"/>
      <w:marTop w:val="0"/>
      <w:marBottom w:val="0"/>
      <w:divBdr>
        <w:top w:val="none" w:sz="0" w:space="0" w:color="auto"/>
        <w:left w:val="none" w:sz="0" w:space="0" w:color="auto"/>
        <w:bottom w:val="none" w:sz="0" w:space="0" w:color="auto"/>
        <w:right w:val="none" w:sz="0" w:space="0" w:color="auto"/>
      </w:divBdr>
    </w:div>
    <w:div w:id="1754400811">
      <w:bodyDiv w:val="1"/>
      <w:marLeft w:val="0"/>
      <w:marRight w:val="0"/>
      <w:marTop w:val="0"/>
      <w:marBottom w:val="0"/>
      <w:divBdr>
        <w:top w:val="none" w:sz="0" w:space="0" w:color="auto"/>
        <w:left w:val="none" w:sz="0" w:space="0" w:color="auto"/>
        <w:bottom w:val="none" w:sz="0" w:space="0" w:color="auto"/>
        <w:right w:val="none" w:sz="0" w:space="0" w:color="auto"/>
      </w:divBdr>
      <w:divsChild>
        <w:div w:id="1796755074">
          <w:marLeft w:val="432"/>
          <w:marRight w:val="0"/>
          <w:marTop w:val="240"/>
          <w:marBottom w:val="0"/>
          <w:divBdr>
            <w:top w:val="none" w:sz="0" w:space="0" w:color="auto"/>
            <w:left w:val="none" w:sz="0" w:space="0" w:color="auto"/>
            <w:bottom w:val="none" w:sz="0" w:space="0" w:color="auto"/>
            <w:right w:val="none" w:sz="0" w:space="0" w:color="auto"/>
          </w:divBdr>
        </w:div>
        <w:div w:id="935284733">
          <w:marLeft w:val="432"/>
          <w:marRight w:val="0"/>
          <w:marTop w:val="240"/>
          <w:marBottom w:val="0"/>
          <w:divBdr>
            <w:top w:val="none" w:sz="0" w:space="0" w:color="auto"/>
            <w:left w:val="none" w:sz="0" w:space="0" w:color="auto"/>
            <w:bottom w:val="none" w:sz="0" w:space="0" w:color="auto"/>
            <w:right w:val="none" w:sz="0" w:space="0" w:color="auto"/>
          </w:divBdr>
        </w:div>
        <w:div w:id="1918131733">
          <w:marLeft w:val="432"/>
          <w:marRight w:val="0"/>
          <w:marTop w:val="240"/>
          <w:marBottom w:val="0"/>
          <w:divBdr>
            <w:top w:val="none" w:sz="0" w:space="0" w:color="auto"/>
            <w:left w:val="none" w:sz="0" w:space="0" w:color="auto"/>
            <w:bottom w:val="none" w:sz="0" w:space="0" w:color="auto"/>
            <w:right w:val="none" w:sz="0" w:space="0" w:color="auto"/>
          </w:divBdr>
        </w:div>
        <w:div w:id="616177092">
          <w:marLeft w:val="1267"/>
          <w:marRight w:val="0"/>
          <w:marTop w:val="180"/>
          <w:marBottom w:val="0"/>
          <w:divBdr>
            <w:top w:val="none" w:sz="0" w:space="0" w:color="auto"/>
            <w:left w:val="none" w:sz="0" w:space="0" w:color="auto"/>
            <w:bottom w:val="none" w:sz="0" w:space="0" w:color="auto"/>
            <w:right w:val="none" w:sz="0" w:space="0" w:color="auto"/>
          </w:divBdr>
        </w:div>
        <w:div w:id="679159699">
          <w:marLeft w:val="1267"/>
          <w:marRight w:val="0"/>
          <w:marTop w:val="180"/>
          <w:marBottom w:val="0"/>
          <w:divBdr>
            <w:top w:val="none" w:sz="0" w:space="0" w:color="auto"/>
            <w:left w:val="none" w:sz="0" w:space="0" w:color="auto"/>
            <w:bottom w:val="none" w:sz="0" w:space="0" w:color="auto"/>
            <w:right w:val="none" w:sz="0" w:space="0" w:color="auto"/>
          </w:divBdr>
        </w:div>
        <w:div w:id="1731465791">
          <w:marLeft w:val="432"/>
          <w:marRight w:val="0"/>
          <w:marTop w:val="240"/>
          <w:marBottom w:val="0"/>
          <w:divBdr>
            <w:top w:val="none" w:sz="0" w:space="0" w:color="auto"/>
            <w:left w:val="none" w:sz="0" w:space="0" w:color="auto"/>
            <w:bottom w:val="none" w:sz="0" w:space="0" w:color="auto"/>
            <w:right w:val="none" w:sz="0" w:space="0" w:color="auto"/>
          </w:divBdr>
        </w:div>
        <w:div w:id="642391488">
          <w:marLeft w:val="1267"/>
          <w:marRight w:val="0"/>
          <w:marTop w:val="180"/>
          <w:marBottom w:val="0"/>
          <w:divBdr>
            <w:top w:val="none" w:sz="0" w:space="0" w:color="auto"/>
            <w:left w:val="none" w:sz="0" w:space="0" w:color="auto"/>
            <w:bottom w:val="none" w:sz="0" w:space="0" w:color="auto"/>
            <w:right w:val="none" w:sz="0" w:space="0" w:color="auto"/>
          </w:divBdr>
        </w:div>
        <w:div w:id="1733380968">
          <w:marLeft w:val="432"/>
          <w:marRight w:val="0"/>
          <w:marTop w:val="240"/>
          <w:marBottom w:val="0"/>
          <w:divBdr>
            <w:top w:val="none" w:sz="0" w:space="0" w:color="auto"/>
            <w:left w:val="none" w:sz="0" w:space="0" w:color="auto"/>
            <w:bottom w:val="none" w:sz="0" w:space="0" w:color="auto"/>
            <w:right w:val="none" w:sz="0" w:space="0" w:color="auto"/>
          </w:divBdr>
        </w:div>
        <w:div w:id="594827943">
          <w:marLeft w:val="432"/>
          <w:marRight w:val="0"/>
          <w:marTop w:val="240"/>
          <w:marBottom w:val="0"/>
          <w:divBdr>
            <w:top w:val="none" w:sz="0" w:space="0" w:color="auto"/>
            <w:left w:val="none" w:sz="0" w:space="0" w:color="auto"/>
            <w:bottom w:val="none" w:sz="0" w:space="0" w:color="auto"/>
            <w:right w:val="none" w:sz="0" w:space="0" w:color="auto"/>
          </w:divBdr>
        </w:div>
      </w:divsChild>
    </w:div>
    <w:div w:id="1754425385">
      <w:bodyDiv w:val="1"/>
      <w:marLeft w:val="0"/>
      <w:marRight w:val="0"/>
      <w:marTop w:val="0"/>
      <w:marBottom w:val="0"/>
      <w:divBdr>
        <w:top w:val="none" w:sz="0" w:space="0" w:color="auto"/>
        <w:left w:val="none" w:sz="0" w:space="0" w:color="auto"/>
        <w:bottom w:val="none" w:sz="0" w:space="0" w:color="auto"/>
        <w:right w:val="none" w:sz="0" w:space="0" w:color="auto"/>
      </w:divBdr>
    </w:div>
    <w:div w:id="1756852758">
      <w:bodyDiv w:val="1"/>
      <w:marLeft w:val="0"/>
      <w:marRight w:val="0"/>
      <w:marTop w:val="0"/>
      <w:marBottom w:val="0"/>
      <w:divBdr>
        <w:top w:val="none" w:sz="0" w:space="0" w:color="auto"/>
        <w:left w:val="none" w:sz="0" w:space="0" w:color="auto"/>
        <w:bottom w:val="none" w:sz="0" w:space="0" w:color="auto"/>
        <w:right w:val="none" w:sz="0" w:space="0" w:color="auto"/>
      </w:divBdr>
    </w:div>
    <w:div w:id="1757052753">
      <w:bodyDiv w:val="1"/>
      <w:marLeft w:val="0"/>
      <w:marRight w:val="0"/>
      <w:marTop w:val="0"/>
      <w:marBottom w:val="0"/>
      <w:divBdr>
        <w:top w:val="none" w:sz="0" w:space="0" w:color="auto"/>
        <w:left w:val="none" w:sz="0" w:space="0" w:color="auto"/>
        <w:bottom w:val="none" w:sz="0" w:space="0" w:color="auto"/>
        <w:right w:val="none" w:sz="0" w:space="0" w:color="auto"/>
      </w:divBdr>
      <w:divsChild>
        <w:div w:id="370768467">
          <w:marLeft w:val="1080"/>
          <w:marRight w:val="0"/>
          <w:marTop w:val="100"/>
          <w:marBottom w:val="0"/>
          <w:divBdr>
            <w:top w:val="none" w:sz="0" w:space="0" w:color="auto"/>
            <w:left w:val="none" w:sz="0" w:space="0" w:color="auto"/>
            <w:bottom w:val="none" w:sz="0" w:space="0" w:color="auto"/>
            <w:right w:val="none" w:sz="0" w:space="0" w:color="auto"/>
          </w:divBdr>
        </w:div>
        <w:div w:id="646521114">
          <w:marLeft w:val="1080"/>
          <w:marRight w:val="0"/>
          <w:marTop w:val="100"/>
          <w:marBottom w:val="0"/>
          <w:divBdr>
            <w:top w:val="none" w:sz="0" w:space="0" w:color="auto"/>
            <w:left w:val="none" w:sz="0" w:space="0" w:color="auto"/>
            <w:bottom w:val="none" w:sz="0" w:space="0" w:color="auto"/>
            <w:right w:val="none" w:sz="0" w:space="0" w:color="auto"/>
          </w:divBdr>
        </w:div>
        <w:div w:id="1896236640">
          <w:marLeft w:val="1080"/>
          <w:marRight w:val="0"/>
          <w:marTop w:val="100"/>
          <w:marBottom w:val="0"/>
          <w:divBdr>
            <w:top w:val="none" w:sz="0" w:space="0" w:color="auto"/>
            <w:left w:val="none" w:sz="0" w:space="0" w:color="auto"/>
            <w:bottom w:val="none" w:sz="0" w:space="0" w:color="auto"/>
            <w:right w:val="none" w:sz="0" w:space="0" w:color="auto"/>
          </w:divBdr>
        </w:div>
        <w:div w:id="1945963054">
          <w:marLeft w:val="360"/>
          <w:marRight w:val="0"/>
          <w:marTop w:val="200"/>
          <w:marBottom w:val="0"/>
          <w:divBdr>
            <w:top w:val="none" w:sz="0" w:space="0" w:color="auto"/>
            <w:left w:val="none" w:sz="0" w:space="0" w:color="auto"/>
            <w:bottom w:val="none" w:sz="0" w:space="0" w:color="auto"/>
            <w:right w:val="none" w:sz="0" w:space="0" w:color="auto"/>
          </w:divBdr>
        </w:div>
      </w:divsChild>
    </w:div>
    <w:div w:id="1765609380">
      <w:bodyDiv w:val="1"/>
      <w:marLeft w:val="0"/>
      <w:marRight w:val="0"/>
      <w:marTop w:val="0"/>
      <w:marBottom w:val="0"/>
      <w:divBdr>
        <w:top w:val="none" w:sz="0" w:space="0" w:color="auto"/>
        <w:left w:val="none" w:sz="0" w:space="0" w:color="auto"/>
        <w:bottom w:val="none" w:sz="0" w:space="0" w:color="auto"/>
        <w:right w:val="none" w:sz="0" w:space="0" w:color="auto"/>
      </w:divBdr>
    </w:div>
    <w:div w:id="1773865993">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86533861">
      <w:bodyDiv w:val="1"/>
      <w:marLeft w:val="0"/>
      <w:marRight w:val="0"/>
      <w:marTop w:val="0"/>
      <w:marBottom w:val="0"/>
      <w:divBdr>
        <w:top w:val="none" w:sz="0" w:space="0" w:color="auto"/>
        <w:left w:val="none" w:sz="0" w:space="0" w:color="auto"/>
        <w:bottom w:val="none" w:sz="0" w:space="0" w:color="auto"/>
        <w:right w:val="none" w:sz="0" w:space="0" w:color="auto"/>
      </w:divBdr>
    </w:div>
    <w:div w:id="1787848325">
      <w:bodyDiv w:val="1"/>
      <w:marLeft w:val="0"/>
      <w:marRight w:val="0"/>
      <w:marTop w:val="0"/>
      <w:marBottom w:val="0"/>
      <w:divBdr>
        <w:top w:val="none" w:sz="0" w:space="0" w:color="auto"/>
        <w:left w:val="none" w:sz="0" w:space="0" w:color="auto"/>
        <w:bottom w:val="none" w:sz="0" w:space="0" w:color="auto"/>
        <w:right w:val="none" w:sz="0" w:space="0" w:color="auto"/>
      </w:divBdr>
    </w:div>
    <w:div w:id="1798257090">
      <w:bodyDiv w:val="1"/>
      <w:marLeft w:val="0"/>
      <w:marRight w:val="0"/>
      <w:marTop w:val="0"/>
      <w:marBottom w:val="0"/>
      <w:divBdr>
        <w:top w:val="none" w:sz="0" w:space="0" w:color="auto"/>
        <w:left w:val="none" w:sz="0" w:space="0" w:color="auto"/>
        <w:bottom w:val="none" w:sz="0" w:space="0" w:color="auto"/>
        <w:right w:val="none" w:sz="0" w:space="0" w:color="auto"/>
      </w:divBdr>
    </w:div>
    <w:div w:id="1798258887">
      <w:bodyDiv w:val="1"/>
      <w:marLeft w:val="0"/>
      <w:marRight w:val="0"/>
      <w:marTop w:val="0"/>
      <w:marBottom w:val="0"/>
      <w:divBdr>
        <w:top w:val="none" w:sz="0" w:space="0" w:color="auto"/>
        <w:left w:val="none" w:sz="0" w:space="0" w:color="auto"/>
        <w:bottom w:val="none" w:sz="0" w:space="0" w:color="auto"/>
        <w:right w:val="none" w:sz="0" w:space="0" w:color="auto"/>
      </w:divBdr>
    </w:div>
    <w:div w:id="1800805727">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2531509">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055873">
      <w:bodyDiv w:val="1"/>
      <w:marLeft w:val="0"/>
      <w:marRight w:val="0"/>
      <w:marTop w:val="0"/>
      <w:marBottom w:val="0"/>
      <w:divBdr>
        <w:top w:val="none" w:sz="0" w:space="0" w:color="auto"/>
        <w:left w:val="none" w:sz="0" w:space="0" w:color="auto"/>
        <w:bottom w:val="none" w:sz="0" w:space="0" w:color="auto"/>
        <w:right w:val="none" w:sz="0" w:space="0" w:color="auto"/>
      </w:divBdr>
    </w:div>
    <w:div w:id="1819376045">
      <w:bodyDiv w:val="1"/>
      <w:marLeft w:val="0"/>
      <w:marRight w:val="0"/>
      <w:marTop w:val="0"/>
      <w:marBottom w:val="0"/>
      <w:divBdr>
        <w:top w:val="none" w:sz="0" w:space="0" w:color="auto"/>
        <w:left w:val="none" w:sz="0" w:space="0" w:color="auto"/>
        <w:bottom w:val="none" w:sz="0" w:space="0" w:color="auto"/>
        <w:right w:val="none" w:sz="0" w:space="0" w:color="auto"/>
      </w:divBdr>
    </w:div>
    <w:div w:id="1820884015">
      <w:bodyDiv w:val="1"/>
      <w:marLeft w:val="0"/>
      <w:marRight w:val="0"/>
      <w:marTop w:val="0"/>
      <w:marBottom w:val="0"/>
      <w:divBdr>
        <w:top w:val="none" w:sz="0" w:space="0" w:color="auto"/>
        <w:left w:val="none" w:sz="0" w:space="0" w:color="auto"/>
        <w:bottom w:val="none" w:sz="0" w:space="0" w:color="auto"/>
        <w:right w:val="none" w:sz="0" w:space="0" w:color="auto"/>
      </w:divBdr>
    </w:div>
    <w:div w:id="1827235673">
      <w:bodyDiv w:val="1"/>
      <w:marLeft w:val="0"/>
      <w:marRight w:val="0"/>
      <w:marTop w:val="0"/>
      <w:marBottom w:val="0"/>
      <w:divBdr>
        <w:top w:val="none" w:sz="0" w:space="0" w:color="auto"/>
        <w:left w:val="none" w:sz="0" w:space="0" w:color="auto"/>
        <w:bottom w:val="none" w:sz="0" w:space="0" w:color="auto"/>
        <w:right w:val="none" w:sz="0" w:space="0" w:color="auto"/>
      </w:divBdr>
    </w:div>
    <w:div w:id="1849758173">
      <w:bodyDiv w:val="1"/>
      <w:marLeft w:val="0"/>
      <w:marRight w:val="0"/>
      <w:marTop w:val="0"/>
      <w:marBottom w:val="0"/>
      <w:divBdr>
        <w:top w:val="none" w:sz="0" w:space="0" w:color="auto"/>
        <w:left w:val="none" w:sz="0" w:space="0" w:color="auto"/>
        <w:bottom w:val="none" w:sz="0" w:space="0" w:color="auto"/>
        <w:right w:val="none" w:sz="0" w:space="0" w:color="auto"/>
      </w:divBdr>
    </w:div>
    <w:div w:id="1851404502">
      <w:bodyDiv w:val="1"/>
      <w:marLeft w:val="0"/>
      <w:marRight w:val="0"/>
      <w:marTop w:val="0"/>
      <w:marBottom w:val="0"/>
      <w:divBdr>
        <w:top w:val="none" w:sz="0" w:space="0" w:color="auto"/>
        <w:left w:val="none" w:sz="0" w:space="0" w:color="auto"/>
        <w:bottom w:val="none" w:sz="0" w:space="0" w:color="auto"/>
        <w:right w:val="none" w:sz="0" w:space="0" w:color="auto"/>
      </w:divBdr>
      <w:divsChild>
        <w:div w:id="1378234701">
          <w:marLeft w:val="1080"/>
          <w:marRight w:val="0"/>
          <w:marTop w:val="100"/>
          <w:marBottom w:val="0"/>
          <w:divBdr>
            <w:top w:val="none" w:sz="0" w:space="0" w:color="auto"/>
            <w:left w:val="none" w:sz="0" w:space="0" w:color="auto"/>
            <w:bottom w:val="none" w:sz="0" w:space="0" w:color="auto"/>
            <w:right w:val="none" w:sz="0" w:space="0" w:color="auto"/>
          </w:divBdr>
        </w:div>
      </w:divsChild>
    </w:div>
    <w:div w:id="1861043222">
      <w:bodyDiv w:val="1"/>
      <w:marLeft w:val="0"/>
      <w:marRight w:val="0"/>
      <w:marTop w:val="0"/>
      <w:marBottom w:val="0"/>
      <w:divBdr>
        <w:top w:val="none" w:sz="0" w:space="0" w:color="auto"/>
        <w:left w:val="none" w:sz="0" w:space="0" w:color="auto"/>
        <w:bottom w:val="none" w:sz="0" w:space="0" w:color="auto"/>
        <w:right w:val="none" w:sz="0" w:space="0" w:color="auto"/>
      </w:divBdr>
    </w:div>
    <w:div w:id="1876891989">
      <w:bodyDiv w:val="1"/>
      <w:marLeft w:val="0"/>
      <w:marRight w:val="0"/>
      <w:marTop w:val="0"/>
      <w:marBottom w:val="0"/>
      <w:divBdr>
        <w:top w:val="none" w:sz="0" w:space="0" w:color="auto"/>
        <w:left w:val="none" w:sz="0" w:space="0" w:color="auto"/>
        <w:bottom w:val="none" w:sz="0" w:space="0" w:color="auto"/>
        <w:right w:val="none" w:sz="0" w:space="0" w:color="auto"/>
      </w:divBdr>
    </w:div>
    <w:div w:id="1878539105">
      <w:bodyDiv w:val="1"/>
      <w:marLeft w:val="0"/>
      <w:marRight w:val="0"/>
      <w:marTop w:val="0"/>
      <w:marBottom w:val="0"/>
      <w:divBdr>
        <w:top w:val="none" w:sz="0" w:space="0" w:color="auto"/>
        <w:left w:val="none" w:sz="0" w:space="0" w:color="auto"/>
        <w:bottom w:val="none" w:sz="0" w:space="0" w:color="auto"/>
        <w:right w:val="none" w:sz="0" w:space="0" w:color="auto"/>
      </w:divBdr>
    </w:div>
    <w:div w:id="1881279169">
      <w:bodyDiv w:val="1"/>
      <w:marLeft w:val="0"/>
      <w:marRight w:val="0"/>
      <w:marTop w:val="0"/>
      <w:marBottom w:val="0"/>
      <w:divBdr>
        <w:top w:val="none" w:sz="0" w:space="0" w:color="auto"/>
        <w:left w:val="none" w:sz="0" w:space="0" w:color="auto"/>
        <w:bottom w:val="none" w:sz="0" w:space="0" w:color="auto"/>
        <w:right w:val="none" w:sz="0" w:space="0" w:color="auto"/>
      </w:divBdr>
    </w:div>
    <w:div w:id="1887637680">
      <w:bodyDiv w:val="1"/>
      <w:marLeft w:val="0"/>
      <w:marRight w:val="0"/>
      <w:marTop w:val="0"/>
      <w:marBottom w:val="0"/>
      <w:divBdr>
        <w:top w:val="none" w:sz="0" w:space="0" w:color="auto"/>
        <w:left w:val="none" w:sz="0" w:space="0" w:color="auto"/>
        <w:bottom w:val="none" w:sz="0" w:space="0" w:color="auto"/>
        <w:right w:val="none" w:sz="0" w:space="0" w:color="auto"/>
      </w:divBdr>
    </w:div>
    <w:div w:id="1900434155">
      <w:bodyDiv w:val="1"/>
      <w:marLeft w:val="0"/>
      <w:marRight w:val="0"/>
      <w:marTop w:val="0"/>
      <w:marBottom w:val="0"/>
      <w:divBdr>
        <w:top w:val="none" w:sz="0" w:space="0" w:color="auto"/>
        <w:left w:val="none" w:sz="0" w:space="0" w:color="auto"/>
        <w:bottom w:val="none" w:sz="0" w:space="0" w:color="auto"/>
        <w:right w:val="none" w:sz="0" w:space="0" w:color="auto"/>
      </w:divBdr>
    </w:div>
    <w:div w:id="1900629963">
      <w:bodyDiv w:val="1"/>
      <w:marLeft w:val="0"/>
      <w:marRight w:val="0"/>
      <w:marTop w:val="0"/>
      <w:marBottom w:val="0"/>
      <w:divBdr>
        <w:top w:val="none" w:sz="0" w:space="0" w:color="auto"/>
        <w:left w:val="none" w:sz="0" w:space="0" w:color="auto"/>
        <w:bottom w:val="none" w:sz="0" w:space="0" w:color="auto"/>
        <w:right w:val="none" w:sz="0" w:space="0" w:color="auto"/>
      </w:divBdr>
    </w:div>
    <w:div w:id="1905142128">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156248">
      <w:bodyDiv w:val="1"/>
      <w:marLeft w:val="0"/>
      <w:marRight w:val="0"/>
      <w:marTop w:val="0"/>
      <w:marBottom w:val="0"/>
      <w:divBdr>
        <w:top w:val="none" w:sz="0" w:space="0" w:color="auto"/>
        <w:left w:val="none" w:sz="0" w:space="0" w:color="auto"/>
        <w:bottom w:val="none" w:sz="0" w:space="0" w:color="auto"/>
        <w:right w:val="none" w:sz="0" w:space="0" w:color="auto"/>
      </w:divBdr>
    </w:div>
    <w:div w:id="1918661338">
      <w:bodyDiv w:val="1"/>
      <w:marLeft w:val="0"/>
      <w:marRight w:val="0"/>
      <w:marTop w:val="0"/>
      <w:marBottom w:val="0"/>
      <w:divBdr>
        <w:top w:val="none" w:sz="0" w:space="0" w:color="auto"/>
        <w:left w:val="none" w:sz="0" w:space="0" w:color="auto"/>
        <w:bottom w:val="none" w:sz="0" w:space="0" w:color="auto"/>
        <w:right w:val="none" w:sz="0" w:space="0" w:color="auto"/>
      </w:divBdr>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1233116">
      <w:bodyDiv w:val="1"/>
      <w:marLeft w:val="0"/>
      <w:marRight w:val="0"/>
      <w:marTop w:val="0"/>
      <w:marBottom w:val="0"/>
      <w:divBdr>
        <w:top w:val="none" w:sz="0" w:space="0" w:color="auto"/>
        <w:left w:val="none" w:sz="0" w:space="0" w:color="auto"/>
        <w:bottom w:val="none" w:sz="0" w:space="0" w:color="auto"/>
        <w:right w:val="none" w:sz="0" w:space="0" w:color="auto"/>
      </w:divBdr>
    </w:div>
    <w:div w:id="1931351586">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40792369">
      <w:bodyDiv w:val="1"/>
      <w:marLeft w:val="0"/>
      <w:marRight w:val="0"/>
      <w:marTop w:val="0"/>
      <w:marBottom w:val="0"/>
      <w:divBdr>
        <w:top w:val="none" w:sz="0" w:space="0" w:color="auto"/>
        <w:left w:val="none" w:sz="0" w:space="0" w:color="auto"/>
        <w:bottom w:val="none" w:sz="0" w:space="0" w:color="auto"/>
        <w:right w:val="none" w:sz="0" w:space="0" w:color="auto"/>
      </w:divBdr>
    </w:div>
    <w:div w:id="1947231434">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59295008">
      <w:bodyDiv w:val="1"/>
      <w:marLeft w:val="0"/>
      <w:marRight w:val="0"/>
      <w:marTop w:val="0"/>
      <w:marBottom w:val="0"/>
      <w:divBdr>
        <w:top w:val="none" w:sz="0" w:space="0" w:color="auto"/>
        <w:left w:val="none" w:sz="0" w:space="0" w:color="auto"/>
        <w:bottom w:val="none" w:sz="0" w:space="0" w:color="auto"/>
        <w:right w:val="none" w:sz="0" w:space="0" w:color="auto"/>
      </w:divBdr>
    </w:div>
    <w:div w:id="1960800531">
      <w:bodyDiv w:val="1"/>
      <w:marLeft w:val="0"/>
      <w:marRight w:val="0"/>
      <w:marTop w:val="0"/>
      <w:marBottom w:val="0"/>
      <w:divBdr>
        <w:top w:val="none" w:sz="0" w:space="0" w:color="auto"/>
        <w:left w:val="none" w:sz="0" w:space="0" w:color="auto"/>
        <w:bottom w:val="none" w:sz="0" w:space="0" w:color="auto"/>
        <w:right w:val="none" w:sz="0" w:space="0" w:color="auto"/>
      </w:divBdr>
    </w:div>
    <w:div w:id="1961181721">
      <w:bodyDiv w:val="1"/>
      <w:marLeft w:val="0"/>
      <w:marRight w:val="0"/>
      <w:marTop w:val="0"/>
      <w:marBottom w:val="0"/>
      <w:divBdr>
        <w:top w:val="none" w:sz="0" w:space="0" w:color="auto"/>
        <w:left w:val="none" w:sz="0" w:space="0" w:color="auto"/>
        <w:bottom w:val="none" w:sz="0" w:space="0" w:color="auto"/>
        <w:right w:val="none" w:sz="0" w:space="0" w:color="auto"/>
      </w:divBdr>
    </w:div>
    <w:div w:id="1961571593">
      <w:bodyDiv w:val="1"/>
      <w:marLeft w:val="0"/>
      <w:marRight w:val="0"/>
      <w:marTop w:val="0"/>
      <w:marBottom w:val="0"/>
      <w:divBdr>
        <w:top w:val="none" w:sz="0" w:space="0" w:color="auto"/>
        <w:left w:val="none" w:sz="0" w:space="0" w:color="auto"/>
        <w:bottom w:val="none" w:sz="0" w:space="0" w:color="auto"/>
        <w:right w:val="none" w:sz="0" w:space="0" w:color="auto"/>
      </w:divBdr>
    </w:div>
    <w:div w:id="1965382465">
      <w:bodyDiv w:val="1"/>
      <w:marLeft w:val="0"/>
      <w:marRight w:val="0"/>
      <w:marTop w:val="0"/>
      <w:marBottom w:val="0"/>
      <w:divBdr>
        <w:top w:val="none" w:sz="0" w:space="0" w:color="auto"/>
        <w:left w:val="none" w:sz="0" w:space="0" w:color="auto"/>
        <w:bottom w:val="none" w:sz="0" w:space="0" w:color="auto"/>
        <w:right w:val="none" w:sz="0" w:space="0" w:color="auto"/>
      </w:divBdr>
    </w:div>
    <w:div w:id="1965885003">
      <w:bodyDiv w:val="1"/>
      <w:marLeft w:val="0"/>
      <w:marRight w:val="0"/>
      <w:marTop w:val="0"/>
      <w:marBottom w:val="0"/>
      <w:divBdr>
        <w:top w:val="none" w:sz="0" w:space="0" w:color="auto"/>
        <w:left w:val="none" w:sz="0" w:space="0" w:color="auto"/>
        <w:bottom w:val="none" w:sz="0" w:space="0" w:color="auto"/>
        <w:right w:val="none" w:sz="0" w:space="0" w:color="auto"/>
      </w:divBdr>
    </w:div>
    <w:div w:id="1965960180">
      <w:bodyDiv w:val="1"/>
      <w:marLeft w:val="0"/>
      <w:marRight w:val="0"/>
      <w:marTop w:val="0"/>
      <w:marBottom w:val="0"/>
      <w:divBdr>
        <w:top w:val="none" w:sz="0" w:space="0" w:color="auto"/>
        <w:left w:val="none" w:sz="0" w:space="0" w:color="auto"/>
        <w:bottom w:val="none" w:sz="0" w:space="0" w:color="auto"/>
        <w:right w:val="none" w:sz="0" w:space="0" w:color="auto"/>
      </w:divBdr>
    </w:div>
    <w:div w:id="1967157390">
      <w:bodyDiv w:val="1"/>
      <w:marLeft w:val="0"/>
      <w:marRight w:val="0"/>
      <w:marTop w:val="0"/>
      <w:marBottom w:val="0"/>
      <w:divBdr>
        <w:top w:val="none" w:sz="0" w:space="0" w:color="auto"/>
        <w:left w:val="none" w:sz="0" w:space="0" w:color="auto"/>
        <w:bottom w:val="none" w:sz="0" w:space="0" w:color="auto"/>
        <w:right w:val="none" w:sz="0" w:space="0" w:color="auto"/>
      </w:divBdr>
    </w:div>
    <w:div w:id="1971084423">
      <w:bodyDiv w:val="1"/>
      <w:marLeft w:val="0"/>
      <w:marRight w:val="0"/>
      <w:marTop w:val="0"/>
      <w:marBottom w:val="0"/>
      <w:divBdr>
        <w:top w:val="none" w:sz="0" w:space="0" w:color="auto"/>
        <w:left w:val="none" w:sz="0" w:space="0" w:color="auto"/>
        <w:bottom w:val="none" w:sz="0" w:space="0" w:color="auto"/>
        <w:right w:val="none" w:sz="0" w:space="0" w:color="auto"/>
      </w:divBdr>
    </w:div>
    <w:div w:id="1974289791">
      <w:bodyDiv w:val="1"/>
      <w:marLeft w:val="0"/>
      <w:marRight w:val="0"/>
      <w:marTop w:val="0"/>
      <w:marBottom w:val="0"/>
      <w:divBdr>
        <w:top w:val="none" w:sz="0" w:space="0" w:color="auto"/>
        <w:left w:val="none" w:sz="0" w:space="0" w:color="auto"/>
        <w:bottom w:val="none" w:sz="0" w:space="0" w:color="auto"/>
        <w:right w:val="none" w:sz="0" w:space="0" w:color="auto"/>
      </w:divBdr>
      <w:divsChild>
        <w:div w:id="2143813675">
          <w:marLeft w:val="1267"/>
          <w:marRight w:val="0"/>
          <w:marTop w:val="180"/>
          <w:marBottom w:val="0"/>
          <w:divBdr>
            <w:top w:val="none" w:sz="0" w:space="0" w:color="auto"/>
            <w:left w:val="none" w:sz="0" w:space="0" w:color="auto"/>
            <w:bottom w:val="none" w:sz="0" w:space="0" w:color="auto"/>
            <w:right w:val="none" w:sz="0" w:space="0" w:color="auto"/>
          </w:divBdr>
        </w:div>
      </w:divsChild>
    </w:div>
    <w:div w:id="1981230831">
      <w:bodyDiv w:val="1"/>
      <w:marLeft w:val="0"/>
      <w:marRight w:val="0"/>
      <w:marTop w:val="0"/>
      <w:marBottom w:val="0"/>
      <w:divBdr>
        <w:top w:val="none" w:sz="0" w:space="0" w:color="auto"/>
        <w:left w:val="none" w:sz="0" w:space="0" w:color="auto"/>
        <w:bottom w:val="none" w:sz="0" w:space="0" w:color="auto"/>
        <w:right w:val="none" w:sz="0" w:space="0" w:color="auto"/>
      </w:divBdr>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5815879">
      <w:bodyDiv w:val="1"/>
      <w:marLeft w:val="0"/>
      <w:marRight w:val="0"/>
      <w:marTop w:val="0"/>
      <w:marBottom w:val="0"/>
      <w:divBdr>
        <w:top w:val="none" w:sz="0" w:space="0" w:color="auto"/>
        <w:left w:val="none" w:sz="0" w:space="0" w:color="auto"/>
        <w:bottom w:val="none" w:sz="0" w:space="0" w:color="auto"/>
        <w:right w:val="none" w:sz="0" w:space="0" w:color="auto"/>
      </w:divBdr>
    </w:div>
    <w:div w:id="1990355296">
      <w:bodyDiv w:val="1"/>
      <w:marLeft w:val="0"/>
      <w:marRight w:val="0"/>
      <w:marTop w:val="0"/>
      <w:marBottom w:val="0"/>
      <w:divBdr>
        <w:top w:val="none" w:sz="0" w:space="0" w:color="auto"/>
        <w:left w:val="none" w:sz="0" w:space="0" w:color="auto"/>
        <w:bottom w:val="none" w:sz="0" w:space="0" w:color="auto"/>
        <w:right w:val="none" w:sz="0" w:space="0" w:color="auto"/>
      </w:divBdr>
    </w:div>
    <w:div w:id="1991055103">
      <w:bodyDiv w:val="1"/>
      <w:marLeft w:val="0"/>
      <w:marRight w:val="0"/>
      <w:marTop w:val="0"/>
      <w:marBottom w:val="0"/>
      <w:divBdr>
        <w:top w:val="none" w:sz="0" w:space="0" w:color="auto"/>
        <w:left w:val="none" w:sz="0" w:space="0" w:color="auto"/>
        <w:bottom w:val="none" w:sz="0" w:space="0" w:color="auto"/>
        <w:right w:val="none" w:sz="0" w:space="0" w:color="auto"/>
      </w:divBdr>
    </w:div>
    <w:div w:id="2009557139">
      <w:bodyDiv w:val="1"/>
      <w:marLeft w:val="0"/>
      <w:marRight w:val="0"/>
      <w:marTop w:val="0"/>
      <w:marBottom w:val="0"/>
      <w:divBdr>
        <w:top w:val="none" w:sz="0" w:space="0" w:color="auto"/>
        <w:left w:val="none" w:sz="0" w:space="0" w:color="auto"/>
        <w:bottom w:val="none" w:sz="0" w:space="0" w:color="auto"/>
        <w:right w:val="none" w:sz="0" w:space="0" w:color="auto"/>
      </w:divBdr>
    </w:div>
    <w:div w:id="2013414932">
      <w:bodyDiv w:val="1"/>
      <w:marLeft w:val="0"/>
      <w:marRight w:val="0"/>
      <w:marTop w:val="0"/>
      <w:marBottom w:val="0"/>
      <w:divBdr>
        <w:top w:val="none" w:sz="0" w:space="0" w:color="auto"/>
        <w:left w:val="none" w:sz="0" w:space="0" w:color="auto"/>
        <w:bottom w:val="none" w:sz="0" w:space="0" w:color="auto"/>
        <w:right w:val="none" w:sz="0" w:space="0" w:color="auto"/>
      </w:divBdr>
    </w:div>
    <w:div w:id="2015912578">
      <w:bodyDiv w:val="1"/>
      <w:marLeft w:val="0"/>
      <w:marRight w:val="0"/>
      <w:marTop w:val="0"/>
      <w:marBottom w:val="0"/>
      <w:divBdr>
        <w:top w:val="none" w:sz="0" w:space="0" w:color="auto"/>
        <w:left w:val="none" w:sz="0" w:space="0" w:color="auto"/>
        <w:bottom w:val="none" w:sz="0" w:space="0" w:color="auto"/>
        <w:right w:val="none" w:sz="0" w:space="0" w:color="auto"/>
      </w:divBdr>
    </w:div>
    <w:div w:id="2027829462">
      <w:bodyDiv w:val="1"/>
      <w:marLeft w:val="0"/>
      <w:marRight w:val="0"/>
      <w:marTop w:val="0"/>
      <w:marBottom w:val="0"/>
      <w:divBdr>
        <w:top w:val="none" w:sz="0" w:space="0" w:color="auto"/>
        <w:left w:val="none" w:sz="0" w:space="0" w:color="auto"/>
        <w:bottom w:val="none" w:sz="0" w:space="0" w:color="auto"/>
        <w:right w:val="none" w:sz="0" w:space="0" w:color="auto"/>
      </w:divBdr>
    </w:div>
    <w:div w:id="2038003532">
      <w:bodyDiv w:val="1"/>
      <w:marLeft w:val="0"/>
      <w:marRight w:val="0"/>
      <w:marTop w:val="0"/>
      <w:marBottom w:val="0"/>
      <w:divBdr>
        <w:top w:val="none" w:sz="0" w:space="0" w:color="auto"/>
        <w:left w:val="none" w:sz="0" w:space="0" w:color="auto"/>
        <w:bottom w:val="none" w:sz="0" w:space="0" w:color="auto"/>
        <w:right w:val="none" w:sz="0" w:space="0" w:color="auto"/>
      </w:divBdr>
    </w:div>
    <w:div w:id="2039700415">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46640683">
      <w:bodyDiv w:val="1"/>
      <w:marLeft w:val="0"/>
      <w:marRight w:val="0"/>
      <w:marTop w:val="0"/>
      <w:marBottom w:val="0"/>
      <w:divBdr>
        <w:top w:val="none" w:sz="0" w:space="0" w:color="auto"/>
        <w:left w:val="none" w:sz="0" w:space="0" w:color="auto"/>
        <w:bottom w:val="none" w:sz="0" w:space="0" w:color="auto"/>
        <w:right w:val="none" w:sz="0" w:space="0" w:color="auto"/>
      </w:divBdr>
    </w:div>
    <w:div w:id="2051026316">
      <w:bodyDiv w:val="1"/>
      <w:marLeft w:val="0"/>
      <w:marRight w:val="0"/>
      <w:marTop w:val="0"/>
      <w:marBottom w:val="0"/>
      <w:divBdr>
        <w:top w:val="none" w:sz="0" w:space="0" w:color="auto"/>
        <w:left w:val="none" w:sz="0" w:space="0" w:color="auto"/>
        <w:bottom w:val="none" w:sz="0" w:space="0" w:color="auto"/>
        <w:right w:val="none" w:sz="0" w:space="0" w:color="auto"/>
      </w:divBdr>
    </w:div>
    <w:div w:id="2051687344">
      <w:bodyDiv w:val="1"/>
      <w:marLeft w:val="0"/>
      <w:marRight w:val="0"/>
      <w:marTop w:val="0"/>
      <w:marBottom w:val="0"/>
      <w:divBdr>
        <w:top w:val="none" w:sz="0" w:space="0" w:color="auto"/>
        <w:left w:val="none" w:sz="0" w:space="0" w:color="auto"/>
        <w:bottom w:val="none" w:sz="0" w:space="0" w:color="auto"/>
        <w:right w:val="none" w:sz="0" w:space="0" w:color="auto"/>
      </w:divBdr>
    </w:div>
    <w:div w:id="2052144400">
      <w:bodyDiv w:val="1"/>
      <w:marLeft w:val="0"/>
      <w:marRight w:val="0"/>
      <w:marTop w:val="0"/>
      <w:marBottom w:val="0"/>
      <w:divBdr>
        <w:top w:val="none" w:sz="0" w:space="0" w:color="auto"/>
        <w:left w:val="none" w:sz="0" w:space="0" w:color="auto"/>
        <w:bottom w:val="none" w:sz="0" w:space="0" w:color="auto"/>
        <w:right w:val="none" w:sz="0" w:space="0" w:color="auto"/>
      </w:divBdr>
    </w:div>
    <w:div w:id="2056153207">
      <w:bodyDiv w:val="1"/>
      <w:marLeft w:val="0"/>
      <w:marRight w:val="0"/>
      <w:marTop w:val="0"/>
      <w:marBottom w:val="0"/>
      <w:divBdr>
        <w:top w:val="none" w:sz="0" w:space="0" w:color="auto"/>
        <w:left w:val="none" w:sz="0" w:space="0" w:color="auto"/>
        <w:bottom w:val="none" w:sz="0" w:space="0" w:color="auto"/>
        <w:right w:val="none" w:sz="0" w:space="0" w:color="auto"/>
      </w:divBdr>
    </w:div>
    <w:div w:id="2067800972">
      <w:bodyDiv w:val="1"/>
      <w:marLeft w:val="0"/>
      <w:marRight w:val="0"/>
      <w:marTop w:val="0"/>
      <w:marBottom w:val="0"/>
      <w:divBdr>
        <w:top w:val="none" w:sz="0" w:space="0" w:color="auto"/>
        <w:left w:val="none" w:sz="0" w:space="0" w:color="auto"/>
        <w:bottom w:val="none" w:sz="0" w:space="0" w:color="auto"/>
        <w:right w:val="none" w:sz="0" w:space="0" w:color="auto"/>
      </w:divBdr>
    </w:div>
    <w:div w:id="2070108650">
      <w:bodyDiv w:val="1"/>
      <w:marLeft w:val="0"/>
      <w:marRight w:val="0"/>
      <w:marTop w:val="0"/>
      <w:marBottom w:val="0"/>
      <w:divBdr>
        <w:top w:val="none" w:sz="0" w:space="0" w:color="auto"/>
        <w:left w:val="none" w:sz="0" w:space="0" w:color="auto"/>
        <w:bottom w:val="none" w:sz="0" w:space="0" w:color="auto"/>
        <w:right w:val="none" w:sz="0" w:space="0" w:color="auto"/>
      </w:divBdr>
    </w:div>
    <w:div w:id="2073236998">
      <w:bodyDiv w:val="1"/>
      <w:marLeft w:val="0"/>
      <w:marRight w:val="0"/>
      <w:marTop w:val="0"/>
      <w:marBottom w:val="0"/>
      <w:divBdr>
        <w:top w:val="none" w:sz="0" w:space="0" w:color="auto"/>
        <w:left w:val="none" w:sz="0" w:space="0" w:color="auto"/>
        <w:bottom w:val="none" w:sz="0" w:space="0" w:color="auto"/>
        <w:right w:val="none" w:sz="0" w:space="0" w:color="auto"/>
      </w:divBdr>
    </w:div>
    <w:div w:id="2076122020">
      <w:bodyDiv w:val="1"/>
      <w:marLeft w:val="0"/>
      <w:marRight w:val="0"/>
      <w:marTop w:val="0"/>
      <w:marBottom w:val="0"/>
      <w:divBdr>
        <w:top w:val="none" w:sz="0" w:space="0" w:color="auto"/>
        <w:left w:val="none" w:sz="0" w:space="0" w:color="auto"/>
        <w:bottom w:val="none" w:sz="0" w:space="0" w:color="auto"/>
        <w:right w:val="none" w:sz="0" w:space="0" w:color="auto"/>
      </w:divBdr>
    </w:div>
    <w:div w:id="2082211476">
      <w:bodyDiv w:val="1"/>
      <w:marLeft w:val="0"/>
      <w:marRight w:val="0"/>
      <w:marTop w:val="0"/>
      <w:marBottom w:val="0"/>
      <w:divBdr>
        <w:top w:val="none" w:sz="0" w:space="0" w:color="auto"/>
        <w:left w:val="none" w:sz="0" w:space="0" w:color="auto"/>
        <w:bottom w:val="none" w:sz="0" w:space="0" w:color="auto"/>
        <w:right w:val="none" w:sz="0" w:space="0" w:color="auto"/>
      </w:divBdr>
    </w:div>
    <w:div w:id="2082949620">
      <w:bodyDiv w:val="1"/>
      <w:marLeft w:val="0"/>
      <w:marRight w:val="0"/>
      <w:marTop w:val="0"/>
      <w:marBottom w:val="0"/>
      <w:divBdr>
        <w:top w:val="none" w:sz="0" w:space="0" w:color="auto"/>
        <w:left w:val="none" w:sz="0" w:space="0" w:color="auto"/>
        <w:bottom w:val="none" w:sz="0" w:space="0" w:color="auto"/>
        <w:right w:val="none" w:sz="0" w:space="0" w:color="auto"/>
      </w:divBdr>
    </w:div>
    <w:div w:id="2083982942">
      <w:bodyDiv w:val="1"/>
      <w:marLeft w:val="0"/>
      <w:marRight w:val="0"/>
      <w:marTop w:val="0"/>
      <w:marBottom w:val="0"/>
      <w:divBdr>
        <w:top w:val="none" w:sz="0" w:space="0" w:color="auto"/>
        <w:left w:val="none" w:sz="0" w:space="0" w:color="auto"/>
        <w:bottom w:val="none" w:sz="0" w:space="0" w:color="auto"/>
        <w:right w:val="none" w:sz="0" w:space="0" w:color="auto"/>
      </w:divBdr>
    </w:div>
    <w:div w:id="2088073681">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2526421">
      <w:bodyDiv w:val="1"/>
      <w:marLeft w:val="0"/>
      <w:marRight w:val="0"/>
      <w:marTop w:val="0"/>
      <w:marBottom w:val="0"/>
      <w:divBdr>
        <w:top w:val="none" w:sz="0" w:space="0" w:color="auto"/>
        <w:left w:val="none" w:sz="0" w:space="0" w:color="auto"/>
        <w:bottom w:val="none" w:sz="0" w:space="0" w:color="auto"/>
        <w:right w:val="none" w:sz="0" w:space="0" w:color="auto"/>
      </w:divBdr>
    </w:div>
    <w:div w:id="2107656527">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0614405">
      <w:bodyDiv w:val="1"/>
      <w:marLeft w:val="0"/>
      <w:marRight w:val="0"/>
      <w:marTop w:val="0"/>
      <w:marBottom w:val="0"/>
      <w:divBdr>
        <w:top w:val="none" w:sz="0" w:space="0" w:color="auto"/>
        <w:left w:val="none" w:sz="0" w:space="0" w:color="auto"/>
        <w:bottom w:val="none" w:sz="0" w:space="0" w:color="auto"/>
        <w:right w:val="none" w:sz="0" w:space="0" w:color="auto"/>
      </w:divBdr>
    </w:div>
    <w:div w:id="2116628443">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21220015">
      <w:bodyDiv w:val="1"/>
      <w:marLeft w:val="0"/>
      <w:marRight w:val="0"/>
      <w:marTop w:val="0"/>
      <w:marBottom w:val="0"/>
      <w:divBdr>
        <w:top w:val="none" w:sz="0" w:space="0" w:color="auto"/>
        <w:left w:val="none" w:sz="0" w:space="0" w:color="auto"/>
        <w:bottom w:val="none" w:sz="0" w:space="0" w:color="auto"/>
        <w:right w:val="none" w:sz="0" w:space="0" w:color="auto"/>
      </w:divBdr>
    </w:div>
    <w:div w:id="2123258404">
      <w:bodyDiv w:val="1"/>
      <w:marLeft w:val="0"/>
      <w:marRight w:val="0"/>
      <w:marTop w:val="0"/>
      <w:marBottom w:val="0"/>
      <w:divBdr>
        <w:top w:val="none" w:sz="0" w:space="0" w:color="auto"/>
        <w:left w:val="none" w:sz="0" w:space="0" w:color="auto"/>
        <w:bottom w:val="none" w:sz="0" w:space="0" w:color="auto"/>
        <w:right w:val="none" w:sz="0" w:space="0" w:color="auto"/>
      </w:divBdr>
    </w:div>
    <w:div w:id="2134711935">
      <w:bodyDiv w:val="1"/>
      <w:marLeft w:val="0"/>
      <w:marRight w:val="0"/>
      <w:marTop w:val="0"/>
      <w:marBottom w:val="0"/>
      <w:divBdr>
        <w:top w:val="none" w:sz="0" w:space="0" w:color="auto"/>
        <w:left w:val="none" w:sz="0" w:space="0" w:color="auto"/>
        <w:bottom w:val="none" w:sz="0" w:space="0" w:color="auto"/>
        <w:right w:val="none" w:sz="0" w:space="0" w:color="auto"/>
      </w:divBdr>
    </w:div>
    <w:div w:id="2138063084">
      <w:bodyDiv w:val="1"/>
      <w:marLeft w:val="0"/>
      <w:marRight w:val="0"/>
      <w:marTop w:val="0"/>
      <w:marBottom w:val="0"/>
      <w:divBdr>
        <w:top w:val="none" w:sz="0" w:space="0" w:color="auto"/>
        <w:left w:val="none" w:sz="0" w:space="0" w:color="auto"/>
        <w:bottom w:val="none" w:sz="0" w:space="0" w:color="auto"/>
        <w:right w:val="none" w:sz="0" w:space="0" w:color="auto"/>
      </w:divBdr>
    </w:div>
    <w:div w:id="2140761756">
      <w:bodyDiv w:val="1"/>
      <w:marLeft w:val="0"/>
      <w:marRight w:val="0"/>
      <w:marTop w:val="0"/>
      <w:marBottom w:val="0"/>
      <w:divBdr>
        <w:top w:val="none" w:sz="0" w:space="0" w:color="auto"/>
        <w:left w:val="none" w:sz="0" w:space="0" w:color="auto"/>
        <w:bottom w:val="none" w:sz="0" w:space="0" w:color="auto"/>
        <w:right w:val="none" w:sz="0" w:space="0" w:color="auto"/>
      </w:divBdr>
    </w:div>
    <w:div w:id="2143382702">
      <w:bodyDiv w:val="1"/>
      <w:marLeft w:val="0"/>
      <w:marRight w:val="0"/>
      <w:marTop w:val="0"/>
      <w:marBottom w:val="0"/>
      <w:divBdr>
        <w:top w:val="none" w:sz="0" w:space="0" w:color="auto"/>
        <w:left w:val="none" w:sz="0" w:space="0" w:color="auto"/>
        <w:bottom w:val="none" w:sz="0" w:space="0" w:color="auto"/>
        <w:right w:val="none" w:sz="0" w:space="0" w:color="auto"/>
      </w:divBdr>
    </w:div>
    <w:div w:id="2143421650">
      <w:bodyDiv w:val="1"/>
      <w:marLeft w:val="0"/>
      <w:marRight w:val="0"/>
      <w:marTop w:val="0"/>
      <w:marBottom w:val="0"/>
      <w:divBdr>
        <w:top w:val="none" w:sz="0" w:space="0" w:color="auto"/>
        <w:left w:val="none" w:sz="0" w:space="0" w:color="auto"/>
        <w:bottom w:val="none" w:sz="0" w:space="0" w:color="auto"/>
        <w:right w:val="none" w:sz="0" w:space="0" w:color="auto"/>
      </w:divBdr>
    </w:div>
    <w:div w:id="2145854017">
      <w:bodyDiv w:val="1"/>
      <w:marLeft w:val="0"/>
      <w:marRight w:val="0"/>
      <w:marTop w:val="0"/>
      <w:marBottom w:val="0"/>
      <w:divBdr>
        <w:top w:val="none" w:sz="0" w:space="0" w:color="auto"/>
        <w:left w:val="none" w:sz="0" w:space="0" w:color="auto"/>
        <w:bottom w:val="none" w:sz="0" w:space="0" w:color="auto"/>
        <w:right w:val="none" w:sz="0" w:space="0" w:color="auto"/>
      </w:divBdr>
      <w:divsChild>
        <w:div w:id="123636058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9.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8.vsdx"/></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64217-DE79-4BCC-AF56-B61E3B13951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55</TotalTime>
  <Pages>7</Pages>
  <Words>2791</Words>
  <Characters>15913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18667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CH Chi (紀鈞翔)</dc:creator>
  <cp:keywords/>
  <cp:lastModifiedBy>CH Chi (紀鈞翔)</cp:lastModifiedBy>
  <cp:revision>7</cp:revision>
  <cp:lastPrinted>2012-09-28T04:55:00Z</cp:lastPrinted>
  <dcterms:created xsi:type="dcterms:W3CDTF">2025-05-09T14:46:00Z</dcterms:created>
  <dcterms:modified xsi:type="dcterms:W3CDTF">2025-05-09T17:20:00Z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_NewReviewCycle">
    <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2022-11-07T02:30:02Z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81e69cec-3809-4e09-9c9c-87e05ab64bd0</vt:lpwstr>
  </property>
  <property fmtid="{D5CDD505-2E9C-101B-9397-08002B2CF9AE}" pid="11" name="MSIP_Label_83bcef13-7cac-433f-ba1d-47a323951816_ContentBits">
    <vt:lpwstr>0</vt:lpwstr>
  </property>
</Properties>
</file>